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288F" w14:textId="77777777" w:rsidR="00B70D54" w:rsidRDefault="00B70D54" w:rsidP="0013201B">
      <w:pPr>
        <w:rPr>
          <w:rFonts w:ascii="Times New Roman" w:hAnsi="Times New Roman"/>
          <w:sz w:val="24"/>
          <w:szCs w:val="24"/>
        </w:rPr>
      </w:pPr>
    </w:p>
    <w:p w14:paraId="3CD1D849" w14:textId="793BE232" w:rsidR="00B70D54" w:rsidRDefault="00B70D54" w:rsidP="00B70D54">
      <w:pPr>
        <w:ind w:left="4320"/>
        <w:rPr>
          <w:rFonts w:ascii="Times New Roman" w:hAnsi="Times New Roman"/>
          <w:sz w:val="24"/>
          <w:szCs w:val="24"/>
        </w:rPr>
      </w:pPr>
      <w:r w:rsidRPr="00B70D5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459850D" wp14:editId="26788966">
            <wp:extent cx="1447800" cy="447675"/>
            <wp:effectExtent l="0" t="0" r="0" b="9525"/>
            <wp:docPr id="2" name="Picture 2" descr="grady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y_2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DFA" w14:textId="77777777" w:rsidR="00B70D54" w:rsidRDefault="00B70D54" w:rsidP="00B70D54">
      <w:pPr>
        <w:ind w:left="360"/>
        <w:rPr>
          <w:rFonts w:ascii="Times New Roman" w:hAnsi="Times New Roman"/>
          <w:sz w:val="24"/>
          <w:szCs w:val="24"/>
        </w:rPr>
      </w:pPr>
    </w:p>
    <w:p w14:paraId="2FC85B12" w14:textId="43D68435" w:rsidR="00B70D54" w:rsidRDefault="00DA4756" w:rsidP="00B70D54">
      <w:pPr>
        <w:spacing w:after="240"/>
        <w:ind w:left="79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October</w:t>
      </w:r>
      <w:r w:rsidR="00B70D54" w:rsidRPr="00B70D54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14</w:t>
      </w:r>
      <w:r w:rsidR="00B70D54" w:rsidRPr="00B70D54">
        <w:rPr>
          <w:rFonts w:ascii="Times New Roman" w:eastAsia="Calibri" w:hAnsi="Times New Roman"/>
          <w:b/>
          <w:sz w:val="28"/>
          <w:szCs w:val="28"/>
        </w:rPr>
        <w:t>, 202</w:t>
      </w:r>
      <w:r>
        <w:rPr>
          <w:rFonts w:ascii="Times New Roman" w:eastAsia="Calibri" w:hAnsi="Times New Roman"/>
          <w:b/>
          <w:sz w:val="28"/>
          <w:szCs w:val="28"/>
        </w:rPr>
        <w:t>2</w:t>
      </w:r>
    </w:p>
    <w:p w14:paraId="679DE789" w14:textId="07156A8D" w:rsidR="00B70D54" w:rsidRPr="00B70D54" w:rsidRDefault="00B70D54" w:rsidP="00B70D54">
      <w:pPr>
        <w:spacing w:after="240"/>
        <w:ind w:left="720"/>
        <w:rPr>
          <w:rFonts w:ascii="Times New Roman" w:eastAsia="Calibri" w:hAnsi="Times New Roman"/>
          <w:b/>
          <w:sz w:val="28"/>
          <w:szCs w:val="28"/>
        </w:rPr>
      </w:pPr>
      <w:r w:rsidRPr="00B70D54">
        <w:rPr>
          <w:rFonts w:ascii="Times New Roman" w:eastAsia="Calibri" w:hAnsi="Times New Roman"/>
          <w:b/>
          <w:sz w:val="28"/>
          <w:szCs w:val="28"/>
        </w:rPr>
        <w:t>GHS RESPONSE TO VENDOR</w:t>
      </w:r>
      <w:r w:rsidR="00A57143">
        <w:rPr>
          <w:rFonts w:ascii="Times New Roman" w:eastAsia="Calibri" w:hAnsi="Times New Roman"/>
          <w:b/>
          <w:sz w:val="28"/>
          <w:szCs w:val="28"/>
        </w:rPr>
        <w:t xml:space="preserve"> # 3</w:t>
      </w:r>
      <w:bookmarkStart w:id="0" w:name="_GoBack"/>
      <w:bookmarkEnd w:id="0"/>
      <w:r w:rsidRPr="00B70D54">
        <w:rPr>
          <w:rFonts w:ascii="Times New Roman" w:eastAsia="Calibri" w:hAnsi="Times New Roman"/>
          <w:b/>
          <w:sz w:val="28"/>
          <w:szCs w:val="28"/>
        </w:rPr>
        <w:t xml:space="preserve"> QUESTIONS: RFP#2</w:t>
      </w:r>
      <w:r w:rsidR="00DA4756">
        <w:rPr>
          <w:rFonts w:ascii="Times New Roman" w:eastAsia="Calibri" w:hAnsi="Times New Roman"/>
          <w:b/>
          <w:sz w:val="28"/>
          <w:szCs w:val="28"/>
        </w:rPr>
        <w:t>2008KW</w:t>
      </w:r>
      <w:r w:rsidRPr="00B70D5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CE7B845" w14:textId="77777777" w:rsidR="00B70D54" w:rsidRDefault="00B70D54" w:rsidP="00B70D54">
      <w:pPr>
        <w:ind w:left="360"/>
        <w:rPr>
          <w:rFonts w:ascii="Times New Roman" w:hAnsi="Times New Roman"/>
          <w:sz w:val="24"/>
          <w:szCs w:val="24"/>
        </w:rPr>
      </w:pPr>
    </w:p>
    <w:p w14:paraId="3DF0C47E" w14:textId="5228ADBC" w:rsidR="009E6FE2" w:rsidRDefault="006F5130">
      <w:pPr>
        <w:rPr>
          <w:b/>
          <w:bCs/>
          <w:u w:val="single"/>
        </w:rPr>
      </w:pPr>
      <w:r w:rsidRPr="006F5130">
        <w:rPr>
          <w:b/>
          <w:bCs/>
          <w:u w:val="single"/>
        </w:rPr>
        <w:t>The following contains GHS’ official response to previously asked question from vendor regarding the above solicitation:</w:t>
      </w:r>
    </w:p>
    <w:p w14:paraId="3250CFF0" w14:textId="77777777" w:rsidR="00A57143" w:rsidRDefault="00A57143">
      <w:pPr>
        <w:rPr>
          <w:b/>
          <w:bCs/>
          <w:u w:val="single"/>
        </w:rPr>
      </w:pPr>
    </w:p>
    <w:p w14:paraId="6145FF28" w14:textId="77777777" w:rsidR="00A57143" w:rsidRDefault="00A57143">
      <w:pPr>
        <w:rPr>
          <w:b/>
          <w:bCs/>
          <w:u w:val="single"/>
        </w:rPr>
      </w:pPr>
    </w:p>
    <w:p w14:paraId="24C8F5D5" w14:textId="77777777" w:rsidR="00A57143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>What are Grady Health System’s (GHS’) top HR and Benefit Challenges?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>
        <w:rPr>
          <w:rFonts w:eastAsia="Times New Roman" w:cs="Calibri"/>
          <w:color w:val="2E75B6"/>
        </w:rPr>
        <w:t>Grady Health System (GHS) is seeking to enter into an agreement with a well-qualified employee benefits brokerage to assist with the development and administration of an innovative benefits offering to attract and retain high-quality talent. We seek creative, strategic approaches to accomplishing this objective. We seek a progressive partner in structuring and administering a wellness platform that features a holistic emphasis on employee physical, emotional, and financial well-being. We also seek robust employee communication tools and strategies to improve employee awareness and engagement in our benefits offering.</w:t>
      </w:r>
    </w:p>
    <w:p w14:paraId="4C8BB296" w14:textId="77777777" w:rsidR="00A57143" w:rsidRPr="003E019C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70C0"/>
          <w:szCs w:val="18"/>
        </w:rPr>
      </w:pPr>
      <w:r w:rsidRPr="00684917">
        <w:rPr>
          <w:rFonts w:eastAsia="Times New Roman"/>
          <w:color w:val="404040" w:themeColor="text1" w:themeTint="BF"/>
          <w:szCs w:val="18"/>
        </w:rPr>
        <w:t>Who is involved in decision making for the benefits program?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3E019C">
        <w:rPr>
          <w:rFonts w:eastAsia="Times New Roman"/>
          <w:color w:val="0070C0"/>
          <w:szCs w:val="18"/>
        </w:rPr>
        <w:t>Currently the decision makers for Benefits include The CHRO,  HR Director, and Sr. Benefits Generalist</w:t>
      </w:r>
    </w:p>
    <w:p w14:paraId="264F05E7" w14:textId="77777777" w:rsidR="00A57143" w:rsidRPr="001E4293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1E4293">
        <w:rPr>
          <w:rFonts w:eastAsia="Times New Roman"/>
          <w:color w:val="404040" w:themeColor="text1" w:themeTint="BF"/>
          <w:szCs w:val="18"/>
        </w:rPr>
        <w:t>What aspects of your total rewards program are helping you attract and retain talent?</w:t>
      </w:r>
      <w:r>
        <w:rPr>
          <w:rFonts w:eastAsia="Times New Roman"/>
          <w:color w:val="404040" w:themeColor="text1" w:themeTint="BF"/>
          <w:szCs w:val="18"/>
        </w:rPr>
        <w:t xml:space="preserve"> We do not have a true measurement to provide a response.  </w:t>
      </w:r>
      <w:r w:rsidRPr="001E4293">
        <w:rPr>
          <w:rFonts w:eastAsia="Times New Roman"/>
          <w:color w:val="404040" w:themeColor="text1" w:themeTint="BF"/>
          <w:szCs w:val="18"/>
        </w:rPr>
        <w:t xml:space="preserve"> </w:t>
      </w:r>
    </w:p>
    <w:p w14:paraId="40A2277D" w14:textId="77777777" w:rsidR="00A57143" w:rsidRPr="001E4293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684917">
        <w:rPr>
          <w:rFonts w:eastAsia="Times New Roman"/>
          <w:color w:val="404040" w:themeColor="text1" w:themeTint="BF"/>
          <w:szCs w:val="18"/>
        </w:rPr>
        <w:t>Excluding current market conditions, What do you see as your biggest challenges for attracting and retaining talent to GHS?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1E4293">
        <w:rPr>
          <w:rFonts w:eastAsia="Times New Roman"/>
          <w:color w:val="0070C0"/>
          <w:szCs w:val="18"/>
        </w:rPr>
        <w:t>Grady must differentiate the work experience compared to other healthcare entities.</w:t>
      </w:r>
    </w:p>
    <w:p w14:paraId="27D1C592" w14:textId="77777777" w:rsidR="00A57143" w:rsidRPr="00684917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684917">
        <w:rPr>
          <w:rFonts w:eastAsia="Times New Roman"/>
          <w:color w:val="404040" w:themeColor="text1" w:themeTint="BF"/>
          <w:szCs w:val="18"/>
        </w:rPr>
        <w:t>What facets of your current benefits consultant representation have been identified as areas of concern and thus seek improvement?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>
        <w:rPr>
          <w:rFonts w:eastAsia="Times New Roman"/>
          <w:color w:val="0070C0"/>
          <w:szCs w:val="18"/>
        </w:rPr>
        <w:t xml:space="preserve">While your question number one above addresses the overall objectives and challenges, we are particularly interested in seeking out a progressive partner with new ideas, capabilities, and strategies that can help Grady become of a an employer of choice in the healthcare space. </w:t>
      </w:r>
    </w:p>
    <w:p w14:paraId="35953FBE" w14:textId="77777777" w:rsidR="00A57143" w:rsidRPr="003E019C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70C0"/>
          <w:szCs w:val="18"/>
        </w:rPr>
      </w:pPr>
      <w:r w:rsidRPr="00684917">
        <w:rPr>
          <w:rFonts w:eastAsia="Times New Roman"/>
          <w:color w:val="404040" w:themeColor="text1" w:themeTint="BF"/>
          <w:szCs w:val="18"/>
        </w:rPr>
        <w:t>What is your current employee turnover rate?  Average new hires per month?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3E019C">
        <w:rPr>
          <w:rFonts w:eastAsia="Times New Roman"/>
          <w:color w:val="0070C0"/>
          <w:szCs w:val="18"/>
        </w:rPr>
        <w:t>Currently our turnover rate is 25%-30%</w:t>
      </w:r>
    </w:p>
    <w:p w14:paraId="39BB1D5D" w14:textId="77777777" w:rsidR="00A57143" w:rsidRPr="00684917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684917">
        <w:rPr>
          <w:rFonts w:eastAsia="Times New Roman"/>
          <w:color w:val="404040" w:themeColor="text1" w:themeTint="BF"/>
          <w:szCs w:val="18"/>
        </w:rPr>
        <w:t>What are the highest cost drivers in your benefit program?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>
        <w:rPr>
          <w:rFonts w:eastAsia="Times New Roman"/>
          <w:color w:val="0070C0"/>
          <w:szCs w:val="18"/>
        </w:rPr>
        <w:t xml:space="preserve">Health plan costs related to chronic disease and specialty pharmacy spend as well as a population with perhaps higher than benchmark risk factors related to physical, emotional, and financial wellness. </w:t>
      </w:r>
    </w:p>
    <w:p w14:paraId="5A623B3F" w14:textId="77777777" w:rsidR="00A57143" w:rsidRPr="001E4293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>Please describe the employee culture that GHS has fostered. What strategies has GHS implemented in the past to impact company culture?  Is this a priority for strategy? 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0D5253">
        <w:rPr>
          <w:rFonts w:eastAsia="Times New Roman"/>
          <w:color w:val="0070C0"/>
          <w:szCs w:val="18"/>
        </w:rPr>
        <w:t>We do not have sufficient information to provide an accurate response</w:t>
      </w:r>
      <w:r w:rsidRPr="0003096B">
        <w:rPr>
          <w:rFonts w:eastAsia="Times New Roman"/>
          <w:color w:val="404040" w:themeColor="text1" w:themeTint="BF"/>
          <w:szCs w:val="18"/>
        </w:rPr>
        <w:t xml:space="preserve"> </w:t>
      </w:r>
      <w:r w:rsidRPr="001E4293">
        <w:rPr>
          <w:rFonts w:eastAsia="Times New Roman"/>
          <w:color w:val="404040" w:themeColor="text1" w:themeTint="BF"/>
          <w:szCs w:val="18"/>
        </w:rPr>
        <w:t xml:space="preserve"> </w:t>
      </w:r>
    </w:p>
    <w:p w14:paraId="0587BE27" w14:textId="77777777" w:rsidR="00A57143" w:rsidRPr="0003096B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 xml:space="preserve">How do you develop and approach population health management strategy for the employer sponsored health plan? What stakeholders are involved in helping to develop the strategy? </w:t>
      </w:r>
      <w:r>
        <w:rPr>
          <w:rFonts w:eastAsia="Times New Roman"/>
          <w:color w:val="0070C0"/>
          <w:szCs w:val="18"/>
        </w:rPr>
        <w:t xml:space="preserve">Population Heath Management is currently administered through contract with Anthem and integrated with the health plan. </w:t>
      </w:r>
    </w:p>
    <w:p w14:paraId="43967E9D" w14:textId="77777777" w:rsidR="00A57143" w:rsidRPr="0003096B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>What type of risk (payment model, structure, services and population) is your organization taking on with commercial population and/or the employee offering?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2D10D8">
        <w:rPr>
          <w:rFonts w:eastAsia="Times New Roman"/>
          <w:color w:val="0070C0"/>
          <w:szCs w:val="18"/>
        </w:rPr>
        <w:t>Self-funding with stop-loss reinsurance for the health plan</w:t>
      </w:r>
      <w:r>
        <w:rPr>
          <w:rFonts w:eastAsia="Times New Roman"/>
          <w:color w:val="404040" w:themeColor="text1" w:themeTint="BF"/>
          <w:szCs w:val="18"/>
        </w:rPr>
        <w:t xml:space="preserve">. </w:t>
      </w:r>
    </w:p>
    <w:p w14:paraId="7F841975" w14:textId="77777777" w:rsidR="00A57143" w:rsidRPr="00280EB7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280EB7">
        <w:rPr>
          <w:rFonts w:eastAsia="Times New Roman"/>
          <w:color w:val="404040" w:themeColor="text1" w:themeTint="BF"/>
        </w:rPr>
        <w:t>Please confirm your benefit plans renew on 1/1/2023.</w:t>
      </w:r>
      <w:r>
        <w:rPr>
          <w:rFonts w:eastAsia="Times New Roman"/>
          <w:color w:val="404040" w:themeColor="text1" w:themeTint="BF"/>
        </w:rPr>
        <w:t xml:space="preserve"> </w:t>
      </w:r>
      <w:r>
        <w:rPr>
          <w:rFonts w:eastAsia="Times New Roman"/>
          <w:color w:val="0070C0"/>
        </w:rPr>
        <w:t>Correct and have been finalized for 2023</w:t>
      </w:r>
    </w:p>
    <w:p w14:paraId="09D1A833" w14:textId="77777777" w:rsidR="00A57143" w:rsidRPr="00280EB7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280EB7">
        <w:rPr>
          <w:rFonts w:eastAsia="Times New Roman"/>
          <w:color w:val="404040" w:themeColor="text1" w:themeTint="BF"/>
        </w:rPr>
        <w:t>Who is GHS’ current benefit administrator and enrollment solution provider?</w:t>
      </w:r>
      <w:r>
        <w:rPr>
          <w:rFonts w:eastAsia="Times New Roman"/>
          <w:color w:val="404040" w:themeColor="text1" w:themeTint="BF"/>
        </w:rPr>
        <w:t xml:space="preserve"> </w:t>
      </w:r>
      <w:r>
        <w:rPr>
          <w:rFonts w:eastAsia="Times New Roman"/>
          <w:color w:val="0070C0"/>
        </w:rPr>
        <w:t>PeopleSoft HRIS with online enrollment capability</w:t>
      </w:r>
    </w:p>
    <w:p w14:paraId="4B2E6865" w14:textId="77777777" w:rsidR="00A57143" w:rsidRPr="0003096B" w:rsidRDefault="00A57143" w:rsidP="00A5714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  <w:szCs w:val="18"/>
        </w:rPr>
      </w:pPr>
      <w:r w:rsidRPr="0003096B">
        <w:rPr>
          <w:color w:val="404040" w:themeColor="text1" w:themeTint="BF"/>
          <w:szCs w:val="18"/>
        </w:rPr>
        <w:t>Can GHS share plan design summary illustrations, certificates of coverage and/or summary plan description (SPD)?</w:t>
      </w:r>
      <w:r>
        <w:rPr>
          <w:color w:val="404040" w:themeColor="text1" w:themeTint="BF"/>
          <w:szCs w:val="18"/>
        </w:rPr>
        <w:t xml:space="preserve"> </w:t>
      </w:r>
      <w:r w:rsidRPr="000D5253">
        <w:rPr>
          <w:iCs/>
          <w:color w:val="0070C0"/>
          <w:szCs w:val="18"/>
        </w:rPr>
        <w:t>As the scope of this RFP does not include benefits marketing for 2023, please refer to the attached Employee Benefit Guide for general benefits offering information</w:t>
      </w:r>
      <w:r w:rsidRPr="00DF3CC7">
        <w:rPr>
          <w:i/>
          <w:color w:val="FF0000"/>
          <w:szCs w:val="18"/>
        </w:rPr>
        <w:t>.</w:t>
      </w:r>
    </w:p>
    <w:p w14:paraId="4E67C98D" w14:textId="77777777" w:rsidR="00A57143" w:rsidRDefault="00A57143" w:rsidP="00A5714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  <w:szCs w:val="18"/>
        </w:rPr>
      </w:pPr>
      <w:r w:rsidRPr="0003096B">
        <w:rPr>
          <w:color w:val="404040" w:themeColor="text1" w:themeTint="BF"/>
          <w:szCs w:val="18"/>
        </w:rPr>
        <w:t>Can GHS share your 2022 or 2023, if available, Employee Benefits Open Enrollment Guide?</w:t>
      </w:r>
      <w:r>
        <w:rPr>
          <w:color w:val="404040" w:themeColor="text1" w:themeTint="BF"/>
          <w:szCs w:val="18"/>
        </w:rPr>
        <w:t xml:space="preserve"> </w:t>
      </w:r>
      <w:r w:rsidRPr="000D5253">
        <w:rPr>
          <w:color w:val="0070C0"/>
          <w:szCs w:val="18"/>
        </w:rPr>
        <w:t>See above</w:t>
      </w:r>
    </w:p>
    <w:p w14:paraId="7EABFE69" w14:textId="77777777" w:rsidR="00A57143" w:rsidRPr="0003096B" w:rsidRDefault="00A57143" w:rsidP="00A5714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  <w:szCs w:val="18"/>
        </w:rPr>
      </w:pPr>
      <w:r>
        <w:rPr>
          <w:color w:val="404040" w:themeColor="text1" w:themeTint="BF"/>
          <w:szCs w:val="18"/>
        </w:rPr>
        <w:t>Can you please provide an overview of your caregiver benefit programs</w:t>
      </w:r>
      <w:r w:rsidRPr="000D5253">
        <w:rPr>
          <w:color w:val="0070C0"/>
          <w:szCs w:val="18"/>
        </w:rPr>
        <w:t>? FMLA and Family Friendly Leave are two programs we currently have in place to assist employees who may be caregivers</w:t>
      </w:r>
    </w:p>
    <w:p w14:paraId="274BFA55" w14:textId="77777777" w:rsidR="00A57143" w:rsidRPr="00707864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DF3CC7">
        <w:rPr>
          <w:rFonts w:eastAsia="Times New Roman"/>
          <w:color w:val="404040" w:themeColor="text1" w:themeTint="BF"/>
        </w:rPr>
        <w:t xml:space="preserve">Can GHS share design details sufficiently illustrating or describing Tier 1 (Domestic), Tier 2 (TPA/carrier In-network[INN]) and, as applicable, Tier 3 (out-of-network) benefits, distinguishing between facility vs. professional care as applicable? </w:t>
      </w:r>
      <w:r w:rsidRPr="00707864">
        <w:rPr>
          <w:rFonts w:eastAsia="Times New Roman"/>
          <w:b/>
          <w:bCs/>
          <w:color w:val="0070C0"/>
        </w:rPr>
        <w:t xml:space="preserve">Copays and </w:t>
      </w:r>
      <w:r w:rsidRPr="00707864">
        <w:rPr>
          <w:rFonts w:eastAsia="Times New Roman"/>
          <w:b/>
          <w:bCs/>
          <w:color w:val="0070C0"/>
        </w:rPr>
        <w:lastRenderedPageBreak/>
        <w:t xml:space="preserve">Coinsurance When Using Grady and Grady Clinics: </w:t>
      </w:r>
      <w:r w:rsidRPr="00707864">
        <w:rPr>
          <w:rFonts w:eastAsia="Times New Roman"/>
          <w:color w:val="0070C0"/>
        </w:rPr>
        <w:t>Anthem POS and HMO plan members may enjoy significant cost savings by using Grady as your healthcare provider. Currently, diagnostic laboratory and imaging services at Grady are covered at 100% under the HMO plan and covered at 100% for in-office visits under the POS plan when provided through Core Plan Providers (Grady Health System, Children’s Healthcare of Atlanta - Hughes Spalding, or Grady’s neighborhood clinics).Copays and deductibles for the Core Plan Providers for the HMO plan and for in-office visits for POS plan will be $0. Additionally, if you come to Grady for outpatient surgery, the copay will be waived. These benefits are not available to members of CDHP plans due to IRS regulations governing high deductible plans.</w:t>
      </w:r>
      <w:r>
        <w:rPr>
          <w:rFonts w:eastAsia="Times New Roman"/>
          <w:color w:val="0070C0"/>
        </w:rPr>
        <w:t xml:space="preserve"> See Employee Benefit Guide for more plan design detail.</w:t>
      </w:r>
    </w:p>
    <w:p w14:paraId="28CF4FD8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 xml:space="preserve">In section 4-A GHS describes a </w:t>
      </w:r>
      <w:r w:rsidRPr="0003096B">
        <w:rPr>
          <w:color w:val="404040" w:themeColor="text1" w:themeTint="BF"/>
        </w:rPr>
        <w:t>“partially self-funded” plan reference, is this because of the Stop Loss insurance or are there other alternative forms of self-funding in addition to Stop Loss (i.e., Minimum premium)? Or, is this a ‘by plan’ reference (i.e., HMO is insured and POS and HDHPs are self-funded)?</w:t>
      </w:r>
      <w:r>
        <w:rPr>
          <w:color w:val="404040" w:themeColor="text1" w:themeTint="BF"/>
        </w:rPr>
        <w:t xml:space="preserve"> </w:t>
      </w:r>
      <w:r>
        <w:rPr>
          <w:color w:val="0070C0"/>
        </w:rPr>
        <w:t xml:space="preserve">For 2023, all health plan offerings are self-funded with stop-loss coverage. </w:t>
      </w:r>
    </w:p>
    <w:p w14:paraId="3436D774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>Can GHS supply a recent, de-identified employee census with election information</w:t>
      </w:r>
      <w:r>
        <w:rPr>
          <w:rFonts w:eastAsia="Times New Roman"/>
          <w:color w:val="404040" w:themeColor="text1" w:themeTint="BF"/>
        </w:rPr>
        <w:t xml:space="preserve"> (i.e., medical, life, disability, voluntary benefits)</w:t>
      </w:r>
      <w:r w:rsidRPr="0003096B">
        <w:rPr>
          <w:rFonts w:eastAsia="Times New Roman"/>
          <w:color w:val="404040" w:themeColor="text1" w:themeTint="BF"/>
        </w:rPr>
        <w:t xml:space="preserve"> and pertinent demographic data</w:t>
      </w:r>
      <w:r>
        <w:rPr>
          <w:rFonts w:eastAsia="Times New Roman"/>
          <w:color w:val="404040" w:themeColor="text1" w:themeTint="BF"/>
        </w:rPr>
        <w:t xml:space="preserve"> (i.e., part-time vs FTE employment status, tenure, salary, business unit)? We have provided a sample census template for GHS in our bidder response for questions. </w:t>
      </w:r>
      <w:r w:rsidRPr="00C769D1">
        <w:rPr>
          <w:rFonts w:ascii="Arial" w:eastAsia="Times New Roman" w:hAnsi="Arial" w:cs="Arial"/>
          <w:color w:val="0070C0"/>
        </w:rPr>
        <w:t>This information will be provided to the selected broker</w:t>
      </w:r>
      <w:r>
        <w:rPr>
          <w:rFonts w:eastAsia="Times New Roman"/>
          <w:color w:val="404040" w:themeColor="text1" w:themeTint="BF"/>
        </w:rPr>
        <w:t xml:space="preserve"> </w:t>
      </w:r>
    </w:p>
    <w:p w14:paraId="36F449A5" w14:textId="77777777" w:rsidR="00A57143" w:rsidRPr="00C769D1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color w:val="0070C0"/>
        </w:rPr>
      </w:pPr>
      <w:r w:rsidRPr="0003096B">
        <w:rPr>
          <w:rFonts w:eastAsia="Times New Roman"/>
          <w:color w:val="404040" w:themeColor="text1" w:themeTint="BF"/>
        </w:rPr>
        <w:t>Please describe which (if any) outside vendors you use to manage and enhance wellbeing (e.g.</w:t>
      </w:r>
      <w:r>
        <w:rPr>
          <w:rFonts w:eastAsia="Times New Roman"/>
          <w:color w:val="404040" w:themeColor="text1" w:themeTint="BF"/>
        </w:rPr>
        <w:t xml:space="preserve">, </w:t>
      </w:r>
      <w:r w:rsidRPr="0003096B">
        <w:rPr>
          <w:rFonts w:eastAsia="Times New Roman"/>
          <w:color w:val="404040" w:themeColor="text1" w:themeTint="BF"/>
        </w:rPr>
        <w:t>engagement/incentive platform) and clinical care (e.g.</w:t>
      </w:r>
      <w:r>
        <w:rPr>
          <w:rFonts w:eastAsia="Times New Roman"/>
          <w:color w:val="404040" w:themeColor="text1" w:themeTint="BF"/>
        </w:rPr>
        <w:t>,</w:t>
      </w:r>
      <w:r w:rsidRPr="0003096B">
        <w:rPr>
          <w:rFonts w:eastAsia="Times New Roman"/>
          <w:color w:val="404040" w:themeColor="text1" w:themeTint="BF"/>
        </w:rPr>
        <w:t xml:space="preserve"> behavioral health digital solution)?  Have these programs been successful in meeting your objectives?</w:t>
      </w:r>
      <w:r>
        <w:rPr>
          <w:rFonts w:eastAsia="Times New Roman"/>
          <w:color w:val="404040" w:themeColor="text1" w:themeTint="BF"/>
        </w:rPr>
        <w:t xml:space="preserve"> </w:t>
      </w:r>
      <w:r w:rsidRPr="00C769D1">
        <w:rPr>
          <w:rFonts w:eastAsia="Times New Roman"/>
          <w:color w:val="0070C0"/>
        </w:rPr>
        <w:t xml:space="preserve">We are currently not engaging outside vendors of this nature, but are open to targeted suggestions. </w:t>
      </w:r>
    </w:p>
    <w:p w14:paraId="54BA03E0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>Who are GHS’ medical TPAs/carriers by plan (i.e., HMO vs. POS, if different) and which network is utilized, within each, for non-domestic INN services?</w:t>
      </w:r>
      <w:r>
        <w:rPr>
          <w:rFonts w:eastAsia="Times New Roman"/>
          <w:color w:val="404040" w:themeColor="text1" w:themeTint="BF"/>
        </w:rPr>
        <w:t xml:space="preserve"> </w:t>
      </w:r>
      <w:r>
        <w:rPr>
          <w:rFonts w:eastAsia="Times New Roman"/>
          <w:color w:val="0070C0"/>
        </w:rPr>
        <w:t xml:space="preserve">Anthem HMO option utilizes their HMO network. Other Anthem offerings feature their open-access PPO network. </w:t>
      </w:r>
    </w:p>
    <w:p w14:paraId="7F338668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>Can GHS provide</w:t>
      </w:r>
      <w:r w:rsidRPr="0003096B">
        <w:rPr>
          <w:rFonts w:ascii="Arial" w:eastAsia="Times New Roman" w:hAnsi="Arial" w:cs="Arial"/>
          <w:color w:val="404040" w:themeColor="text1" w:themeTint="BF"/>
        </w:rPr>
        <w:t xml:space="preserve"> a utilization summary of domestic, in-network, and out-of-network care in annual Plan Year dollars spent (allowed or paid)?</w:t>
      </w:r>
      <w:r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C769D1">
        <w:rPr>
          <w:rFonts w:ascii="Arial" w:eastAsia="Times New Roman" w:hAnsi="Arial" w:cs="Arial"/>
          <w:color w:val="0070C0"/>
        </w:rPr>
        <w:t>This information will be provided to the selected broker</w:t>
      </w:r>
    </w:p>
    <w:p w14:paraId="76B84268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color w:val="404040" w:themeColor="text1" w:themeTint="BF"/>
        </w:rPr>
        <w:t>Are telehealth services delivered by a third-party, within the TPA vendor/health plan or by domestic GHS assets?</w:t>
      </w:r>
      <w:r>
        <w:rPr>
          <w:color w:val="404040" w:themeColor="text1" w:themeTint="BF"/>
        </w:rPr>
        <w:t xml:space="preserve"> </w:t>
      </w:r>
      <w:r>
        <w:rPr>
          <w:color w:val="0070C0"/>
        </w:rPr>
        <w:t>Live Heath Online is integrated into current Anthem contract.</w:t>
      </w:r>
    </w:p>
    <w:p w14:paraId="15D88F16" w14:textId="77777777" w:rsidR="00A57143" w:rsidRPr="00C769D1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70C0"/>
        </w:rPr>
      </w:pPr>
      <w:r w:rsidRPr="0003096B">
        <w:rPr>
          <w:rFonts w:eastAsia="Times New Roman"/>
          <w:color w:val="404040" w:themeColor="text1" w:themeTint="BF"/>
        </w:rPr>
        <w:t xml:space="preserve">Can GHS provide </w:t>
      </w:r>
      <w:r w:rsidRPr="0003096B">
        <w:rPr>
          <w:rFonts w:ascii="Arial" w:eastAsia="Times New Roman" w:hAnsi="Arial" w:cs="Arial"/>
          <w:color w:val="404040" w:themeColor="text1" w:themeTint="BF"/>
        </w:rPr>
        <w:t>2022 and 2023 monthly premium equivalents and employee paycheck</w:t>
      </w:r>
      <w:r>
        <w:rPr>
          <w:rFonts w:ascii="Arial" w:eastAsia="Times New Roman" w:hAnsi="Arial" w:cs="Arial"/>
          <w:color w:val="FF0000"/>
        </w:rPr>
        <w:t xml:space="preserve"> </w:t>
      </w:r>
      <w:r w:rsidRPr="00C769D1">
        <w:rPr>
          <w:rFonts w:ascii="Arial" w:eastAsia="Times New Roman" w:hAnsi="Arial" w:cs="Arial"/>
          <w:color w:val="0070C0"/>
        </w:rPr>
        <w:t>See the 2022 and 2023 Benefits Guide for the medical rates</w:t>
      </w:r>
    </w:p>
    <w:p w14:paraId="2FF609D9" w14:textId="77777777" w:rsidR="00A57143" w:rsidRPr="001E2014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</w:rPr>
      </w:pPr>
      <w:r w:rsidRPr="001E2014">
        <w:rPr>
          <w:rFonts w:ascii="Arial" w:eastAsia="Times New Roman" w:hAnsi="Arial" w:cs="Arial"/>
          <w:color w:val="404040" w:themeColor="text1" w:themeTint="BF"/>
        </w:rPr>
        <w:t xml:space="preserve">Are there any wellness (i.e., the GHS biometric screenings) or tobacco surcharges (or incentives/disincentives) in place, please describe action and dollar amounts? </w:t>
      </w:r>
      <w:r w:rsidRPr="001E2014">
        <w:rPr>
          <w:rFonts w:ascii="Arial" w:eastAsia="Times New Roman" w:hAnsi="Arial" w:cs="Arial"/>
          <w:color w:val="0070C0"/>
        </w:rPr>
        <w:t xml:space="preserve">The Medical Incentives medical plan contribution value is represented in the health plan options section of our Employee Benefit Guide. </w:t>
      </w:r>
      <w:r>
        <w:rPr>
          <w:rFonts w:ascii="Arial" w:eastAsia="Times New Roman" w:hAnsi="Arial" w:cs="Arial"/>
          <w:color w:val="0070C0"/>
        </w:rPr>
        <w:t xml:space="preserve">We encourage our employees </w:t>
      </w:r>
      <w:r w:rsidRPr="001E2014">
        <w:rPr>
          <w:rFonts w:ascii="Arial" w:eastAsia="Times New Roman" w:hAnsi="Arial" w:cs="Arial"/>
          <w:color w:val="0070C0"/>
        </w:rPr>
        <w:t>to complete a GradyWell Annual Health Check – a quic</w:t>
      </w:r>
      <w:r>
        <w:rPr>
          <w:rFonts w:ascii="Arial" w:eastAsia="Times New Roman" w:hAnsi="Arial" w:cs="Arial"/>
          <w:color w:val="0070C0"/>
        </w:rPr>
        <w:t>k check-up where we measure their</w:t>
      </w:r>
      <w:r w:rsidRPr="001E2014">
        <w:rPr>
          <w:rFonts w:ascii="Arial" w:eastAsia="Times New Roman" w:hAnsi="Arial" w:cs="Arial"/>
          <w:color w:val="0070C0"/>
        </w:rPr>
        <w:t xml:space="preserve"> weight, blood pressure, cholesterol, glucose, and A1C. </w:t>
      </w:r>
      <w:r>
        <w:rPr>
          <w:rFonts w:ascii="Arial" w:eastAsia="Times New Roman" w:hAnsi="Arial" w:cs="Arial"/>
          <w:color w:val="0070C0"/>
        </w:rPr>
        <w:t>This is a voluntary program. They</w:t>
      </w:r>
      <w:r w:rsidRPr="001E2014">
        <w:rPr>
          <w:rFonts w:ascii="Arial" w:eastAsia="Times New Roman" w:hAnsi="Arial" w:cs="Arial"/>
          <w:color w:val="0070C0"/>
        </w:rPr>
        <w:t xml:space="preserve"> can use this information to set health goals and qualify for reduced Grady health insurance rates in 2021. There is a two-tier medical premiu</w:t>
      </w:r>
      <w:r>
        <w:rPr>
          <w:rFonts w:ascii="Arial" w:eastAsia="Times New Roman" w:hAnsi="Arial" w:cs="Arial"/>
          <w:color w:val="0070C0"/>
        </w:rPr>
        <w:t>m for the 2021 Plan year. If they complete the screening, they</w:t>
      </w:r>
      <w:r w:rsidRPr="001E2014">
        <w:rPr>
          <w:rFonts w:ascii="Arial" w:eastAsia="Times New Roman" w:hAnsi="Arial" w:cs="Arial"/>
          <w:color w:val="0070C0"/>
        </w:rPr>
        <w:t xml:space="preserve"> will pay the lower b</w:t>
      </w:r>
      <w:r>
        <w:rPr>
          <w:rFonts w:ascii="Arial" w:eastAsia="Times New Roman" w:hAnsi="Arial" w:cs="Arial"/>
          <w:color w:val="0070C0"/>
        </w:rPr>
        <w:t>i-weekly medical premium. If they</w:t>
      </w:r>
      <w:r w:rsidRPr="001E2014">
        <w:rPr>
          <w:rFonts w:ascii="Arial" w:eastAsia="Times New Roman" w:hAnsi="Arial" w:cs="Arial"/>
          <w:color w:val="0070C0"/>
        </w:rPr>
        <w:t xml:space="preserve"> choose not to complete </w:t>
      </w:r>
      <w:r>
        <w:rPr>
          <w:rFonts w:ascii="Arial" w:eastAsia="Times New Roman" w:hAnsi="Arial" w:cs="Arial"/>
          <w:color w:val="0070C0"/>
        </w:rPr>
        <w:t>the screening, they</w:t>
      </w:r>
      <w:r w:rsidRPr="001E2014">
        <w:rPr>
          <w:rFonts w:ascii="Arial" w:eastAsia="Times New Roman" w:hAnsi="Arial" w:cs="Arial"/>
          <w:color w:val="0070C0"/>
        </w:rPr>
        <w:t> will pay a higher bi-weekly medical premium.</w:t>
      </w:r>
      <w:r>
        <w:rPr>
          <w:rFonts w:ascii="Arial" w:eastAsia="Times New Roman" w:hAnsi="Arial" w:cs="Arial"/>
          <w:color w:val="0070C0"/>
        </w:rPr>
        <w:t xml:space="preserve"> There is a tobacco surcharge in place as well. </w:t>
      </w:r>
    </w:p>
    <w:p w14:paraId="0CE48EEB" w14:textId="77777777" w:rsidR="00A57143" w:rsidRPr="001E2014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</w:rPr>
      </w:pPr>
      <w:r w:rsidRPr="001E2014">
        <w:rPr>
          <w:rFonts w:ascii="Arial" w:eastAsia="Times New Roman" w:hAnsi="Arial" w:cs="Arial"/>
          <w:color w:val="404040" w:themeColor="text1" w:themeTint="BF"/>
        </w:rPr>
        <w:t>Are there any limitations on dependent eligibility in the plan, specifically, is there a working spouse surcharge or working spouse exclusion?</w:t>
      </w:r>
      <w:r>
        <w:rPr>
          <w:rFonts w:ascii="Arial" w:eastAsia="Times New Roman" w:hAnsi="Arial" w:cs="Arial"/>
          <w:color w:val="404040" w:themeColor="text1" w:themeTint="BF"/>
        </w:rPr>
        <w:t xml:space="preserve"> </w:t>
      </w:r>
      <w:r>
        <w:rPr>
          <w:rFonts w:ascii="Arial" w:eastAsia="Times New Roman" w:hAnsi="Arial" w:cs="Arial"/>
          <w:color w:val="0070C0"/>
        </w:rPr>
        <w:t xml:space="preserve">We do have a working spouse surcharge. </w:t>
      </w:r>
    </w:p>
    <w:p w14:paraId="374B92FB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</w:rPr>
      </w:pPr>
      <w:r w:rsidRPr="0003096B">
        <w:rPr>
          <w:rFonts w:ascii="Arial" w:eastAsia="Times New Roman" w:hAnsi="Arial" w:cs="Arial"/>
          <w:color w:val="404040" w:themeColor="text1" w:themeTint="BF"/>
        </w:rPr>
        <w:t xml:space="preserve">What is the current level of stop-loss coverage? </w:t>
      </w:r>
      <w:r>
        <w:rPr>
          <w:rFonts w:ascii="Arial" w:eastAsia="Times New Roman" w:hAnsi="Arial" w:cs="Arial"/>
          <w:color w:val="0070C0"/>
        </w:rPr>
        <w:t xml:space="preserve">$300K with an additional $300K aggregating specific (paid contract) </w:t>
      </w:r>
      <w:r w:rsidRPr="0003096B">
        <w:rPr>
          <w:rFonts w:ascii="Arial" w:eastAsia="Times New Roman" w:hAnsi="Arial" w:cs="Arial"/>
          <w:color w:val="404040" w:themeColor="text1" w:themeTint="BF"/>
        </w:rPr>
        <w:t>Does it include both medical and Rx claims</w:t>
      </w:r>
      <w:r>
        <w:rPr>
          <w:rFonts w:ascii="Arial" w:eastAsia="Times New Roman" w:hAnsi="Arial" w:cs="Arial"/>
          <w:color w:val="404040" w:themeColor="text1" w:themeTint="BF"/>
        </w:rPr>
        <w:t xml:space="preserve">? </w:t>
      </w:r>
      <w:r>
        <w:rPr>
          <w:rFonts w:ascii="Arial" w:eastAsia="Times New Roman" w:hAnsi="Arial" w:cs="Arial"/>
          <w:color w:val="0070C0"/>
        </w:rPr>
        <w:t>Yes</w:t>
      </w:r>
    </w:p>
    <w:p w14:paraId="69527734" w14:textId="77777777" w:rsidR="00A57143" w:rsidRPr="00373E83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F251B2">
        <w:rPr>
          <w:rFonts w:eastAsia="Times New Roman"/>
          <w:color w:val="404040" w:themeColor="text1" w:themeTint="BF"/>
        </w:rPr>
        <w:t xml:space="preserve">Does GHS carve in their Rx with your health plan partner, or do you use a separate standalone PBM? </w:t>
      </w:r>
      <w:r w:rsidRPr="00373E83">
        <w:rPr>
          <w:rFonts w:eastAsia="Times New Roman"/>
          <w:color w:val="0070C0"/>
        </w:rPr>
        <w:t xml:space="preserve">Carve in via Anthem </w:t>
      </w:r>
      <w:r w:rsidRPr="00F251B2">
        <w:rPr>
          <w:rFonts w:eastAsia="Times New Roman"/>
          <w:color w:val="404040" w:themeColor="text1" w:themeTint="BF"/>
        </w:rPr>
        <w:t xml:space="preserve">Do you have an in-house pharmacy or strategy in place to drive in house pharmacy utilization if applicable? </w:t>
      </w:r>
      <w:r w:rsidRPr="00373E83">
        <w:rPr>
          <w:rFonts w:eastAsia="Times New Roman"/>
          <w:color w:val="0070C0"/>
        </w:rPr>
        <w:t>Grady employees with a prescription wri</w:t>
      </w:r>
      <w:r>
        <w:rPr>
          <w:rFonts w:eastAsia="Times New Roman"/>
          <w:color w:val="0070C0"/>
        </w:rPr>
        <w:t>tten by a Grady physician can f</w:t>
      </w:r>
      <w:r w:rsidRPr="00373E83">
        <w:rPr>
          <w:rFonts w:eastAsia="Times New Roman"/>
          <w:color w:val="0070C0"/>
        </w:rPr>
        <w:t>ill their prescriptions in the Employee Pharmacy at a discounted rate.</w:t>
      </w:r>
    </w:p>
    <w:p w14:paraId="1BB405CC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>How many domestic onsite/near-site or retail owned pharmacies are in the GHS family?</w:t>
      </w:r>
      <w:r>
        <w:rPr>
          <w:rFonts w:eastAsia="Times New Roman"/>
          <w:color w:val="FF0000"/>
        </w:rPr>
        <w:t xml:space="preserve"> </w:t>
      </w:r>
      <w:r w:rsidRPr="00C769D1">
        <w:rPr>
          <w:rFonts w:eastAsia="Times New Roman"/>
          <w:color w:val="0070C0"/>
        </w:rPr>
        <w:t>GHS has a total of 8 pharmacy facilities that include the Outpatient Pharmacy, Senior Pharmacy and employee pharmacy located on our main campus.  There are also pharmacy facilities  located in 5 of our neighborhood clinics</w:t>
      </w:r>
      <w:r>
        <w:rPr>
          <w:rFonts w:eastAsia="Times New Roman"/>
          <w:color w:val="FF0000"/>
        </w:rPr>
        <w:t xml:space="preserve">.  </w:t>
      </w:r>
    </w:p>
    <w:p w14:paraId="644F18E8" w14:textId="77777777" w:rsidR="00A57143" w:rsidRPr="00933509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70C0"/>
        </w:rPr>
      </w:pPr>
      <w:r w:rsidRPr="0003096B">
        <w:rPr>
          <w:rFonts w:eastAsia="Times New Roman"/>
          <w:color w:val="404040" w:themeColor="text1" w:themeTint="BF"/>
        </w:rPr>
        <w:t>Does GHS employ prescription drug (Rx) 340B pricing on the employee benefit plan?</w:t>
      </w:r>
      <w:r>
        <w:rPr>
          <w:rFonts w:eastAsia="Times New Roman"/>
          <w:color w:val="404040" w:themeColor="text1" w:themeTint="BF"/>
        </w:rPr>
        <w:t xml:space="preserve"> </w:t>
      </w:r>
      <w:r w:rsidRPr="00933509">
        <w:rPr>
          <w:rFonts w:eastAsia="Times New Roman"/>
          <w:color w:val="0070C0"/>
        </w:rPr>
        <w:t>Yes</w:t>
      </w:r>
      <w:r>
        <w:rPr>
          <w:rFonts w:eastAsia="Times New Roman"/>
          <w:color w:val="0070C0"/>
        </w:rPr>
        <w:t>,</w:t>
      </w:r>
      <w:r w:rsidRPr="00933509">
        <w:rPr>
          <w:rFonts w:eastAsia="Times New Roman"/>
          <w:color w:val="0070C0"/>
        </w:rPr>
        <w:t xml:space="preserve"> our pharmacy utilizes 340B pricing (patient and employee pharmacy)</w:t>
      </w:r>
    </w:p>
    <w:p w14:paraId="497B6628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</w:rPr>
      </w:pPr>
      <w:r w:rsidRPr="0003096B">
        <w:rPr>
          <w:color w:val="404040" w:themeColor="text1" w:themeTint="BF"/>
        </w:rPr>
        <w:t>What level of domestic Rx use occurs within the GHS Rx network (i.e., of all Rx $$ or scripts, X% that occurs at GHS owned pharmacies?</w:t>
      </w:r>
      <w:r>
        <w:rPr>
          <w:color w:val="404040" w:themeColor="text1" w:themeTint="BF"/>
        </w:rPr>
        <w:t xml:space="preserve"> </w:t>
      </w:r>
      <w:r w:rsidRPr="00933509">
        <w:rPr>
          <w:color w:val="0070C0"/>
        </w:rPr>
        <w:t>Data not readily available.</w:t>
      </w:r>
    </w:p>
    <w:p w14:paraId="1E0AD943" w14:textId="77777777" w:rsidR="00A57143" w:rsidRPr="0003096B" w:rsidRDefault="00A57143" w:rsidP="00A57143">
      <w:pPr>
        <w:pStyle w:val="AonBodyCopy"/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</w:rPr>
      </w:pPr>
      <w:r w:rsidRPr="0003096B">
        <w:rPr>
          <w:rFonts w:eastAsia="Times New Roman"/>
          <w:color w:val="404040" w:themeColor="text1" w:themeTint="BF"/>
        </w:rPr>
        <w:t>Can you describe the percentage of plan spend that is attributed to non-domestic care (outside of GHS facilities and providers)?  What are the services to which non-domestic care is most often attributed?</w:t>
      </w:r>
      <w:r>
        <w:rPr>
          <w:rFonts w:eastAsia="Times New Roman"/>
          <w:color w:val="404040" w:themeColor="text1" w:themeTint="BF"/>
        </w:rPr>
        <w:t xml:space="preserve"> </w:t>
      </w:r>
      <w:r>
        <w:rPr>
          <w:rFonts w:eastAsia="Times New Roman"/>
          <w:color w:val="0070C0"/>
        </w:rPr>
        <w:t xml:space="preserve">Data not readily available. </w:t>
      </w:r>
    </w:p>
    <w:p w14:paraId="213D92D1" w14:textId="77777777" w:rsidR="00A57143" w:rsidRPr="0003096B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404040" w:themeColor="text1" w:themeTint="BF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>For the medical plans, please describe your ongoing process to ensure Tier 1 (GHS) network sufficiency and adequate acces</w:t>
      </w:r>
      <w:r>
        <w:rPr>
          <w:rFonts w:eastAsia="Times New Roman"/>
          <w:color w:val="404040" w:themeColor="text1" w:themeTint="BF"/>
          <w:szCs w:val="18"/>
        </w:rPr>
        <w:t>s for the geography you serve. </w:t>
      </w:r>
      <w:r>
        <w:rPr>
          <w:rFonts w:eastAsia="Times New Roman"/>
          <w:color w:val="0070C0"/>
          <w:szCs w:val="18"/>
        </w:rPr>
        <w:t xml:space="preserve">Anthem’s broad PPO network in our region is a primary reason for our affiliation with them as our plan administrator. Disruption analyses would be expected of looking at any other option. </w:t>
      </w:r>
    </w:p>
    <w:p w14:paraId="52362D99" w14:textId="77777777" w:rsidR="00A57143" w:rsidRPr="003E019C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70C0"/>
          <w:szCs w:val="18"/>
        </w:rPr>
      </w:pPr>
      <w:r w:rsidRPr="00C05EB4">
        <w:rPr>
          <w:rFonts w:eastAsia="Times New Roman"/>
          <w:color w:val="404040" w:themeColor="text1" w:themeTint="BF"/>
          <w:szCs w:val="18"/>
        </w:rPr>
        <w:t>Can you share a copy of your most recent annual review for medical and Rx?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3E019C">
        <w:rPr>
          <w:rFonts w:eastAsia="Times New Roman"/>
          <w:color w:val="0070C0"/>
          <w:szCs w:val="18"/>
        </w:rPr>
        <w:t>The information will be provided to the selected broker</w:t>
      </w:r>
    </w:p>
    <w:p w14:paraId="03801FFA" w14:textId="77777777" w:rsidR="00A57143" w:rsidRPr="00933509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>Preferred frequency of financial reporting – monthly or quarterly (i.e., experience monitoring or IBNR reporting)?</w:t>
      </w:r>
      <w:r>
        <w:rPr>
          <w:rFonts w:eastAsia="Times New Roman"/>
          <w:color w:val="404040" w:themeColor="text1" w:themeTint="BF"/>
          <w:szCs w:val="18"/>
        </w:rPr>
        <w:t xml:space="preserve"> </w:t>
      </w:r>
      <w:r w:rsidRPr="003E019C">
        <w:rPr>
          <w:rFonts w:eastAsia="Times New Roman"/>
          <w:color w:val="0070C0"/>
          <w:szCs w:val="18"/>
        </w:rPr>
        <w:t>Monthly with IBNR reporting</w:t>
      </w:r>
      <w:r w:rsidRPr="00933509">
        <w:rPr>
          <w:rFonts w:eastAsia="Times New Roman"/>
          <w:color w:val="FF0000"/>
          <w:szCs w:val="18"/>
        </w:rPr>
        <w:t>.</w:t>
      </w:r>
    </w:p>
    <w:p w14:paraId="655761AE" w14:textId="77777777" w:rsidR="00A57143" w:rsidRPr="00933509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70C0"/>
          <w:szCs w:val="18"/>
        </w:rPr>
      </w:pPr>
      <w:r w:rsidRPr="0003096B">
        <w:rPr>
          <w:rFonts w:eastAsia="Times New Roman"/>
          <w:color w:val="404040" w:themeColor="text1" w:themeTint="BF"/>
          <w:szCs w:val="18"/>
        </w:rPr>
        <w:t xml:space="preserve">Does GHS currently utilize a vendor for data warehousing? If yes, which system and data elements are included within the system? Will the selected consultant have access to the system? </w:t>
      </w:r>
      <w:r w:rsidRPr="0003096B">
        <w:rPr>
          <w:color w:val="404040" w:themeColor="text1" w:themeTint="BF"/>
          <w:szCs w:val="18"/>
        </w:rPr>
        <w:t>Do you want the selected consultant to include a data warehouse solution in their scope?</w:t>
      </w:r>
      <w:r>
        <w:rPr>
          <w:color w:val="404040" w:themeColor="text1" w:themeTint="BF"/>
          <w:szCs w:val="18"/>
        </w:rPr>
        <w:t xml:space="preserve"> </w:t>
      </w:r>
      <w:r w:rsidRPr="00933509">
        <w:rPr>
          <w:color w:val="0070C0"/>
          <w:szCs w:val="18"/>
        </w:rPr>
        <w:t>No, vendor files are housed and submitted by our IT department</w:t>
      </w:r>
    </w:p>
    <w:p w14:paraId="644B4253" w14:textId="77777777" w:rsidR="00A57143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404040" w:themeColor="text1" w:themeTint="BF"/>
          <w:szCs w:val="18"/>
        </w:rPr>
      </w:pPr>
      <w:r>
        <w:rPr>
          <w:color w:val="404040" w:themeColor="text1" w:themeTint="BF"/>
          <w:szCs w:val="18"/>
        </w:rPr>
        <w:t>Is GHS willing to schedule a call for further discussion on your goals or programs with the bidders?</w:t>
      </w:r>
      <w:r>
        <w:rPr>
          <w:color w:val="0070C0"/>
          <w:szCs w:val="18"/>
        </w:rPr>
        <w:t xml:space="preserve"> If selected as an RFP finalist, Aon will be invited to a finalist discussion.</w:t>
      </w:r>
    </w:p>
    <w:p w14:paraId="363C5C7E" w14:textId="77777777" w:rsidR="00A57143" w:rsidRPr="003E019C" w:rsidRDefault="00A57143" w:rsidP="00A5714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70C0"/>
          <w:szCs w:val="18"/>
        </w:rPr>
      </w:pPr>
      <w:r>
        <w:rPr>
          <w:color w:val="404040" w:themeColor="text1" w:themeTint="BF"/>
          <w:szCs w:val="18"/>
        </w:rPr>
        <w:t xml:space="preserve">Are there any other solutions/vendors that are contracted directly with your current broker representation (i.e., learning management systems, benefit administration, HR support) that would need to be replaced should you transition your brokerage services? </w:t>
      </w:r>
      <w:r w:rsidRPr="003E019C">
        <w:rPr>
          <w:color w:val="0070C0"/>
          <w:szCs w:val="18"/>
        </w:rPr>
        <w:t>There are no systems that require replacement</w:t>
      </w:r>
    </w:p>
    <w:p w14:paraId="555A7A9F" w14:textId="77777777" w:rsidR="00A57143" w:rsidRPr="006F5130" w:rsidRDefault="00A5714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57143" w:rsidRPr="006F5130" w:rsidSect="009E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D56C" w14:textId="77777777" w:rsidR="005B4B5C" w:rsidRDefault="005B4B5C" w:rsidP="00B70D54">
      <w:r>
        <w:separator/>
      </w:r>
    </w:p>
  </w:endnote>
  <w:endnote w:type="continuationSeparator" w:id="0">
    <w:p w14:paraId="3AE888C5" w14:textId="77777777" w:rsidR="005B4B5C" w:rsidRDefault="005B4B5C" w:rsidP="00B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charset w:val="00"/>
    <w:family w:val="swiss"/>
    <w:pitch w:val="variable"/>
    <w:sig w:usb0="00000001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99BAD" w14:textId="77777777" w:rsidR="005B4B5C" w:rsidRDefault="005B4B5C" w:rsidP="00B70D54">
      <w:r>
        <w:separator/>
      </w:r>
    </w:p>
  </w:footnote>
  <w:footnote w:type="continuationSeparator" w:id="0">
    <w:p w14:paraId="4D388A13" w14:textId="77777777" w:rsidR="005B4B5C" w:rsidRDefault="005B4B5C" w:rsidP="00B7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12C"/>
    <w:multiLevelType w:val="multilevel"/>
    <w:tmpl w:val="0AB2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118A8"/>
    <w:multiLevelType w:val="multilevel"/>
    <w:tmpl w:val="3F540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7368BD"/>
    <w:multiLevelType w:val="hybridMultilevel"/>
    <w:tmpl w:val="B100D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C0D5D"/>
    <w:multiLevelType w:val="hybridMultilevel"/>
    <w:tmpl w:val="43E62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95EC8"/>
    <w:multiLevelType w:val="hybridMultilevel"/>
    <w:tmpl w:val="FDA43AA8"/>
    <w:lvl w:ilvl="0" w:tplc="B464DFD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4C70"/>
    <w:multiLevelType w:val="hybridMultilevel"/>
    <w:tmpl w:val="AE6E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sz w:val="24"/>
        <w:szCs w:val="24"/>
      </w:rPr>
    </w:lvl>
    <w:lvl w:ilvl="2" w:tplc="32F09DA8">
      <w:start w:val="1"/>
      <w:numFmt w:val="lowerRoman"/>
      <w:lvlText w:val="%3."/>
      <w:lvlJc w:val="right"/>
      <w:pPr>
        <w:ind w:left="1800" w:hanging="180"/>
      </w:pPr>
      <w:rPr>
        <w:b w:val="0"/>
        <w:bCs/>
      </w:rPr>
    </w:lvl>
    <w:lvl w:ilvl="3" w:tplc="68E46B92">
      <w:start w:val="1"/>
      <w:numFmt w:val="decimal"/>
      <w:lvlText w:val="%4."/>
      <w:lvlJc w:val="left"/>
      <w:pPr>
        <w:ind w:left="2520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CD748B5A">
      <w:start w:val="1"/>
      <w:numFmt w:val="decimal"/>
      <w:lvlText w:val="%6)"/>
      <w:lvlJc w:val="left"/>
      <w:pPr>
        <w:ind w:left="4050" w:hanging="36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6654C9"/>
    <w:multiLevelType w:val="multilevel"/>
    <w:tmpl w:val="ED74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00748"/>
    <w:multiLevelType w:val="multilevel"/>
    <w:tmpl w:val="01B61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E2"/>
    <w:rsid w:val="0013201B"/>
    <w:rsid w:val="002B5975"/>
    <w:rsid w:val="003854D9"/>
    <w:rsid w:val="00437602"/>
    <w:rsid w:val="005B4B5C"/>
    <w:rsid w:val="006F5130"/>
    <w:rsid w:val="009E6FE2"/>
    <w:rsid w:val="00A57143"/>
    <w:rsid w:val="00AE11D9"/>
    <w:rsid w:val="00B70D54"/>
    <w:rsid w:val="00DA4756"/>
    <w:rsid w:val="00DC0730"/>
    <w:rsid w:val="00F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6611"/>
  <w15:chartTrackingRefBased/>
  <w15:docId w15:val="{52DC3DCC-6A23-4E53-9B14-B96563B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E2"/>
    <w:pPr>
      <w:ind w:left="720"/>
    </w:pPr>
  </w:style>
  <w:style w:type="paragraph" w:customStyle="1" w:styleId="AonBodyCopy">
    <w:name w:val="Aon Body Copy"/>
    <w:link w:val="AonBodyCopyChar"/>
    <w:qFormat/>
    <w:rsid w:val="00A57143"/>
    <w:pPr>
      <w:spacing w:after="120" w:line="240" w:lineRule="auto"/>
    </w:pPr>
    <w:rPr>
      <w:rFonts w:ascii="Helvetica Now Text" w:hAnsi="Helvetica Now Text" w:cs="Helvetica Now Text"/>
      <w:color w:val="000000"/>
      <w:sz w:val="18"/>
      <w:szCs w:val="18"/>
    </w:rPr>
  </w:style>
  <w:style w:type="character" w:customStyle="1" w:styleId="AonBodyCopyChar">
    <w:name w:val="Aon Body Copy Char"/>
    <w:basedOn w:val="DefaultParagraphFont"/>
    <w:link w:val="AonBodyCopy"/>
    <w:rsid w:val="00A57143"/>
    <w:rPr>
      <w:rFonts w:ascii="Helvetica Now Text" w:hAnsi="Helvetica Now Text" w:cs="Helvetica Now Tex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Dean</dc:creator>
  <cp:keywords/>
  <dc:description/>
  <cp:lastModifiedBy>Kareem Wine</cp:lastModifiedBy>
  <cp:revision>2</cp:revision>
  <dcterms:created xsi:type="dcterms:W3CDTF">2022-10-14T20:23:00Z</dcterms:created>
  <dcterms:modified xsi:type="dcterms:W3CDTF">2022-10-14T20:23:00Z</dcterms:modified>
</cp:coreProperties>
</file>