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AC" w:rsidRDefault="004546AC" w:rsidP="004546AC">
      <w:pPr>
        <w:pStyle w:val="Heading2"/>
        <w:rPr>
          <w:rStyle w:val="Strong"/>
        </w:rPr>
      </w:pPr>
      <w:r>
        <w:t>C</w:t>
      </w:r>
      <w:r w:rsidRPr="00797FAC">
        <w:t xml:space="preserve">omplaint, </w:t>
      </w:r>
      <w:r>
        <w:t>C</w:t>
      </w:r>
      <w:r w:rsidRPr="00797FAC">
        <w:t xml:space="preserve">ode of </w:t>
      </w:r>
      <w:r>
        <w:t>E</w:t>
      </w:r>
      <w:r w:rsidRPr="00797FAC">
        <w:t xml:space="preserve">thics &amp; </w:t>
      </w:r>
      <w:r>
        <w:t>P</w:t>
      </w:r>
      <w:r w:rsidRPr="00797FAC">
        <w:t xml:space="preserve">rofessional </w:t>
      </w:r>
      <w:r>
        <w:t>C</w:t>
      </w:r>
      <w:r w:rsidRPr="00797FAC">
        <w:t>onduct</w:t>
      </w:r>
      <w:r w:rsidRPr="00797FAC">
        <w:rPr>
          <w:rStyle w:val="Strong"/>
        </w:rPr>
        <w:t xml:space="preserve"> </w:t>
      </w:r>
    </w:p>
    <w:p w:rsidR="004546AC" w:rsidRPr="00797FAC" w:rsidRDefault="004546AC" w:rsidP="004546AC">
      <w:pPr>
        <w:pStyle w:val="Heading2"/>
        <w:rPr>
          <w:i/>
        </w:rPr>
      </w:pPr>
      <w:r>
        <w:rPr>
          <w:rStyle w:val="Strong"/>
        </w:rPr>
        <w:t>(</w:t>
      </w:r>
      <w:r w:rsidRPr="00797FAC">
        <w:t>ACPE Standard 304.3</w:t>
      </w:r>
      <w:r>
        <w:t>)</w:t>
      </w:r>
    </w:p>
    <w:p w:rsidR="004546AC" w:rsidRPr="00797FAC" w:rsidRDefault="004546AC" w:rsidP="004546AC">
      <w:pPr>
        <w:rPr>
          <w:rFonts w:eastAsia="Times New Roman" w:cs="Times New Roman"/>
          <w:i/>
          <w:iCs/>
          <w:color w:val="000000" w:themeColor="text1"/>
          <w:spacing w:val="5"/>
          <w:shd w:val="clear" w:color="auto" w:fill="FFFFFF"/>
        </w:rPr>
      </w:pPr>
      <w:r w:rsidRPr="00BE43DB">
        <w:rPr>
          <w:rFonts w:cs="Times New Roman"/>
          <w:bCs/>
          <w:i/>
          <w:iCs/>
          <w:color w:val="000000" w:themeColor="text1"/>
        </w:rPr>
        <w:t xml:space="preserve">ACPE Standard 304.3 </w:t>
      </w:r>
      <w:r w:rsidRPr="00BE43DB">
        <w:rPr>
          <w:rFonts w:eastAsia="Times New Roman" w:cs="Times New Roman"/>
          <w:i/>
          <w:iCs/>
          <w:color w:val="000000" w:themeColor="text1"/>
          <w:spacing w:val="5"/>
          <w:shd w:val="clear" w:color="auto" w:fill="FFFFFF"/>
        </w:rPr>
        <w:t>a complaint procedure consistent with</w:t>
      </w:r>
      <w:r w:rsidRPr="00BE43DB">
        <w:rPr>
          <w:rStyle w:val="apple-converted-space"/>
          <w:rFonts w:eastAsia="Times New Roman" w:cs="Times New Roman"/>
          <w:i/>
          <w:iCs/>
          <w:color w:val="000000" w:themeColor="text1"/>
          <w:spacing w:val="5"/>
          <w:shd w:val="clear" w:color="auto" w:fill="FFFFFF"/>
        </w:rPr>
        <w:t> </w:t>
      </w:r>
      <w:hyperlink r:id="rId4" w:history="1">
        <w:r w:rsidRPr="00BE43DB">
          <w:rPr>
            <w:rStyle w:val="IntenseEmphasis"/>
            <w:rFonts w:cs="Times New Roman"/>
            <w:b w:val="0"/>
            <w:color w:val="000000" w:themeColor="text1"/>
          </w:rPr>
          <w:t>ACPE Standards</w:t>
        </w:r>
      </w:hyperlink>
      <w:r w:rsidRPr="00BE43DB">
        <w:rPr>
          <w:rFonts w:cs="Times New Roman"/>
          <w:color w:val="000000" w:themeColor="text1"/>
        </w:rPr>
        <w:t> the </w:t>
      </w:r>
      <w:hyperlink r:id="rId5" w:history="1">
        <w:r w:rsidRPr="00BE43DB">
          <w:rPr>
            <w:rStyle w:val="IntenseEmphasis"/>
            <w:rFonts w:cs="Times New Roman"/>
            <w:b w:val="0"/>
            <w:color w:val="000000" w:themeColor="text1"/>
          </w:rPr>
          <w:t>ACPE Manual 2016 Processing Complaints of Ethics Violations</w:t>
        </w:r>
      </w:hyperlink>
      <w:r w:rsidRPr="00BE43DB">
        <w:rPr>
          <w:rFonts w:cs="Times New Roman"/>
          <w:color w:val="000000" w:themeColor="text1"/>
        </w:rPr>
        <w:t> </w:t>
      </w:r>
      <w:r w:rsidRPr="00BE43DB">
        <w:rPr>
          <w:rFonts w:eastAsia="Times New Roman" w:cs="Times New Roman"/>
          <w:i/>
          <w:iCs/>
          <w:color w:val="000000" w:themeColor="text1"/>
          <w:spacing w:val="5"/>
          <w:shd w:val="clear" w:color="auto" w:fill="FFFFFF"/>
        </w:rPr>
        <w:t>that addresses an</w:t>
      </w:r>
      <w:r w:rsidRPr="00797FAC">
        <w:rPr>
          <w:rFonts w:eastAsia="Times New Roman" w:cs="Times New Roman"/>
          <w:i/>
          <w:iCs/>
          <w:color w:val="000000" w:themeColor="text1"/>
          <w:spacing w:val="5"/>
          <w:shd w:val="clear" w:color="auto" w:fill="FFFFFF"/>
        </w:rPr>
        <w:t xml:space="preserve"> alleged violation of the</w:t>
      </w:r>
      <w:r w:rsidRPr="00797FAC">
        <w:rPr>
          <w:rStyle w:val="apple-converted-space"/>
          <w:rFonts w:eastAsia="Times New Roman" w:cs="Times New Roman"/>
          <w:i/>
          <w:iCs/>
          <w:color w:val="000000" w:themeColor="text1"/>
          <w:spacing w:val="5"/>
          <w:shd w:val="clear" w:color="auto" w:fill="FFFFFF"/>
        </w:rPr>
        <w:t> </w:t>
      </w:r>
      <w:r w:rsidRPr="00797FAC">
        <w:rPr>
          <w:rStyle w:val="caps"/>
          <w:rFonts w:cs="Times New Roman"/>
          <w:i/>
          <w:iCs/>
          <w:color w:val="000000" w:themeColor="text1"/>
          <w:spacing w:val="5"/>
          <w:shd w:val="clear" w:color="auto" w:fill="FFFFFF"/>
        </w:rPr>
        <w:t xml:space="preserve">ACPE </w:t>
      </w:r>
      <w:r w:rsidRPr="00797FAC">
        <w:rPr>
          <w:rFonts w:eastAsia="Times New Roman" w:cs="Times New Roman"/>
          <w:i/>
          <w:iCs/>
          <w:color w:val="000000" w:themeColor="text1"/>
          <w:spacing w:val="5"/>
          <w:shd w:val="clear" w:color="auto" w:fill="FFFFFF"/>
        </w:rPr>
        <w:t>ethics standards</w:t>
      </w:r>
    </w:p>
    <w:p w:rsidR="004546AC" w:rsidRPr="00797FAC" w:rsidRDefault="004546AC" w:rsidP="004546AC">
      <w:pPr>
        <w:jc w:val="both"/>
        <w:rPr>
          <w:rFonts w:cs="Times New Roman"/>
          <w:b/>
          <w:bCs/>
          <w:color w:val="000000" w:themeColor="text1"/>
        </w:rPr>
      </w:pPr>
      <w:r w:rsidRPr="00797FAC">
        <w:rPr>
          <w:rFonts w:cs="Times New Roman"/>
          <w:b/>
          <w:bCs/>
          <w:color w:val="000000" w:themeColor="text1"/>
        </w:rPr>
        <w:t>PURPOSE</w:t>
      </w:r>
      <w:r w:rsidRPr="00797FAC">
        <w:rPr>
          <w:rFonts w:cs="Times New Roman"/>
          <w:color w:val="000000" w:themeColor="text1"/>
        </w:rPr>
        <w:t xml:space="preserve">:  To define the procedure for processing student complaints at the level of the Clinical Pastoral Education program at the Centers programs/educational or clinical placement sites, and to ensure that the handling of complaints </w:t>
      </w:r>
      <w:proofErr w:type="gramStart"/>
      <w:r w:rsidRPr="00797FAC">
        <w:rPr>
          <w:rFonts w:cs="Times New Roman"/>
          <w:color w:val="000000" w:themeColor="text1"/>
        </w:rPr>
        <w:t>is accomplished</w:t>
      </w:r>
      <w:proofErr w:type="gramEnd"/>
      <w:r w:rsidRPr="00797FAC">
        <w:rPr>
          <w:rFonts w:cs="Times New Roman"/>
          <w:color w:val="000000" w:themeColor="text1"/>
        </w:rPr>
        <w:t xml:space="preserve"> in accordance with ACPE Standards and the manual of the ACPE Professional Ethics Commission.</w:t>
      </w:r>
      <w:r w:rsidRPr="00797FAC">
        <w:rPr>
          <w:rFonts w:cs="Times New Roman"/>
          <w:b/>
          <w:bCs/>
          <w:color w:val="000000" w:themeColor="text1"/>
        </w:rPr>
        <w:t xml:space="preserve"> </w:t>
      </w:r>
    </w:p>
    <w:p w:rsidR="004546AC" w:rsidRPr="00797FAC" w:rsidRDefault="004546AC" w:rsidP="004546AC">
      <w:pPr>
        <w:jc w:val="both"/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TYPES OF COMPLAINTS:</w:t>
      </w:r>
      <w:r w:rsidRPr="00797FAC">
        <w:rPr>
          <w:rFonts w:cs="Times New Roman"/>
          <w:b/>
          <w:bCs/>
          <w:color w:val="000000" w:themeColor="text1"/>
        </w:rPr>
        <w:t xml:space="preserve"> </w:t>
      </w:r>
    </w:p>
    <w:p w:rsidR="004546AC" w:rsidRPr="00797FAC" w:rsidRDefault="004546AC" w:rsidP="004546AC">
      <w:pPr>
        <w:jc w:val="both"/>
        <w:rPr>
          <w:rFonts w:cs="Times New Roman"/>
          <w:b/>
          <w:bCs/>
          <w:color w:val="000000" w:themeColor="text1"/>
        </w:rPr>
      </w:pPr>
      <w:r w:rsidRPr="00797FAC">
        <w:rPr>
          <w:rFonts w:cs="Times New Roman"/>
          <w:color w:val="000000" w:themeColor="text1"/>
        </w:rPr>
        <w:t xml:space="preserve">ACPE Complaints are of three types. The </w:t>
      </w:r>
      <w:r w:rsidRPr="00797FAC">
        <w:rPr>
          <w:rFonts w:cs="Times New Roman"/>
          <w:color w:val="000000" w:themeColor="text1"/>
          <w:u w:val="single"/>
        </w:rPr>
        <w:t>first type</w:t>
      </w:r>
      <w:r w:rsidRPr="00797FAC">
        <w:rPr>
          <w:rFonts w:cs="Times New Roman"/>
          <w:color w:val="000000" w:themeColor="text1"/>
        </w:rPr>
        <w:t xml:space="preserve"> and one used by students and most often processed at GCSCE is a complaint concerning the violation of standards concerning the educational program at GCSCE. The complaints are usually resolved quickly at the center level.  The process for filing a complaint follows. </w:t>
      </w:r>
    </w:p>
    <w:p w:rsidR="004546AC" w:rsidRPr="00797FAC" w:rsidRDefault="004546AC" w:rsidP="004546AC">
      <w:pPr>
        <w:jc w:val="both"/>
        <w:rPr>
          <w:rFonts w:cs="Times New Roman"/>
          <w:color w:val="000000" w:themeColor="text1"/>
        </w:rPr>
      </w:pPr>
      <w:r w:rsidRPr="00797FAC">
        <w:rPr>
          <w:rFonts w:cs="Times New Roman"/>
          <w:color w:val="000000" w:themeColor="text1"/>
        </w:rPr>
        <w:t xml:space="preserve">The </w:t>
      </w:r>
      <w:r w:rsidRPr="00797FAC">
        <w:rPr>
          <w:rFonts w:cs="Times New Roman"/>
          <w:color w:val="000000" w:themeColor="text1"/>
          <w:u w:val="single"/>
        </w:rPr>
        <w:t xml:space="preserve">second </w:t>
      </w:r>
      <w:r w:rsidRPr="00797FAC">
        <w:rPr>
          <w:rFonts w:cs="Times New Roman"/>
          <w:color w:val="000000" w:themeColor="text1"/>
        </w:rPr>
        <w:t xml:space="preserve">type of complaint involving alleged ethics </w:t>
      </w:r>
      <w:proofErr w:type="gramStart"/>
      <w:r w:rsidRPr="00797FAC">
        <w:rPr>
          <w:rFonts w:cs="Times New Roman"/>
          <w:color w:val="000000" w:themeColor="text1"/>
        </w:rPr>
        <w:t>violations,</w:t>
      </w:r>
      <w:proofErr w:type="gramEnd"/>
      <w:r w:rsidRPr="00797FAC">
        <w:rPr>
          <w:rFonts w:cs="Times New Roman"/>
          <w:color w:val="000000" w:themeColor="text1"/>
        </w:rPr>
        <w:t xml:space="preserve"> is a national level complaint. Complaints alleging violations of the ACPE Code of Professional </w:t>
      </w:r>
      <w:proofErr w:type="gramStart"/>
      <w:r w:rsidRPr="00797FAC">
        <w:rPr>
          <w:rFonts w:cs="Times New Roman"/>
          <w:color w:val="000000" w:themeColor="text1"/>
        </w:rPr>
        <w:t>Ethics,</w:t>
      </w:r>
      <w:proofErr w:type="gramEnd"/>
      <w:r w:rsidRPr="00797FAC">
        <w:rPr>
          <w:rFonts w:cs="Times New Roman"/>
          <w:color w:val="000000" w:themeColor="text1"/>
        </w:rPr>
        <w:t xml:space="preserve"> can begin at the center level and will involve the national Ethics commission. Instructions for filing an Ethics complaint </w:t>
      </w:r>
      <w:proofErr w:type="gramStart"/>
      <w:r w:rsidRPr="00797FAC">
        <w:rPr>
          <w:rFonts w:cs="Times New Roman"/>
          <w:color w:val="000000" w:themeColor="text1"/>
        </w:rPr>
        <w:t>can be found</w:t>
      </w:r>
      <w:proofErr w:type="gramEnd"/>
      <w:r w:rsidRPr="00797FAC">
        <w:rPr>
          <w:rFonts w:cs="Times New Roman"/>
          <w:color w:val="000000" w:themeColor="text1"/>
        </w:rPr>
        <w:t xml:space="preserve"> on the ACPE website. ACPE </w:t>
      </w:r>
      <w:r w:rsidRPr="00797FAC">
        <w:rPr>
          <w:rFonts w:cs="Times New Roman"/>
          <w:i/>
          <w:iCs/>
          <w:color w:val="000000" w:themeColor="text1"/>
        </w:rPr>
        <w:t>Processing Complaints of Ethics Code Violations.</w:t>
      </w:r>
    </w:p>
    <w:p w:rsidR="004546AC" w:rsidRPr="00797FAC" w:rsidRDefault="004546AC" w:rsidP="004546AC">
      <w:pPr>
        <w:jc w:val="both"/>
        <w:rPr>
          <w:rFonts w:cs="Times New Roman"/>
          <w:color w:val="000000" w:themeColor="text1"/>
        </w:rPr>
      </w:pPr>
      <w:r w:rsidRPr="00797FAC">
        <w:rPr>
          <w:rFonts w:cs="Times New Roman"/>
          <w:color w:val="000000" w:themeColor="text1"/>
        </w:rPr>
        <w:t xml:space="preserve">The </w:t>
      </w:r>
      <w:r w:rsidRPr="00797FAC">
        <w:rPr>
          <w:rFonts w:cs="Times New Roman"/>
          <w:color w:val="000000" w:themeColor="text1"/>
          <w:u w:val="single"/>
        </w:rPr>
        <w:t xml:space="preserve">third </w:t>
      </w:r>
      <w:r w:rsidRPr="00797FAC">
        <w:rPr>
          <w:rFonts w:cs="Times New Roman"/>
          <w:color w:val="000000" w:themeColor="text1"/>
        </w:rPr>
        <w:t xml:space="preserve">type of complaint is in reference to a </w:t>
      </w:r>
      <w:r>
        <w:rPr>
          <w:rFonts w:cs="Times New Roman"/>
          <w:color w:val="000000" w:themeColor="text1"/>
        </w:rPr>
        <w:t>student’s</w:t>
      </w:r>
      <w:r w:rsidRPr="00797FAC">
        <w:rPr>
          <w:rFonts w:cs="Times New Roman"/>
          <w:color w:val="000000" w:themeColor="text1"/>
        </w:rPr>
        <w:t xml:space="preserve"> concerns with the ACPE Accreditation Commission.  Complaints against the Accreditation Commission (covered by the </w:t>
      </w:r>
      <w:r w:rsidRPr="00797FAC">
        <w:rPr>
          <w:rFonts w:cs="Times New Roman"/>
          <w:i/>
          <w:iCs/>
          <w:color w:val="000000" w:themeColor="text1"/>
        </w:rPr>
        <w:t>Policy for Complaints Against the Accreditation Commission</w:t>
      </w:r>
      <w:r w:rsidRPr="00797FAC">
        <w:rPr>
          <w:rFonts w:cs="Times New Roman"/>
          <w:color w:val="000000" w:themeColor="text1"/>
        </w:rPr>
        <w:t xml:space="preserve"> available in the 201</w:t>
      </w:r>
      <w:r>
        <w:rPr>
          <w:rFonts w:cs="Times New Roman"/>
          <w:color w:val="000000" w:themeColor="text1"/>
        </w:rPr>
        <w:t>6</w:t>
      </w:r>
      <w:r w:rsidRPr="00797FAC">
        <w:rPr>
          <w:rFonts w:cs="Times New Roman"/>
          <w:color w:val="000000" w:themeColor="text1"/>
        </w:rPr>
        <w:t xml:space="preserve"> ACPE Accreditation Manual - Appendix 10, online at </w:t>
      </w:r>
      <w:hyperlink r:id="rId6">
        <w:r w:rsidRPr="00797FAC">
          <w:rPr>
            <w:rStyle w:val="Hyperlink"/>
            <w:rFonts w:cs="Times New Roman"/>
            <w:color w:val="000000" w:themeColor="text1"/>
          </w:rPr>
          <w:t>www.acpe.edu</w:t>
        </w:r>
      </w:hyperlink>
      <w:r w:rsidRPr="00797FAC">
        <w:rPr>
          <w:rFonts w:cs="Times New Roman"/>
          <w:color w:val="000000" w:themeColor="text1"/>
        </w:rPr>
        <w:t>, at the Center’s Center Office).</w:t>
      </w:r>
    </w:p>
    <w:p w:rsidR="004546AC" w:rsidRPr="003979BA" w:rsidRDefault="004546AC" w:rsidP="004546AC">
      <w:pPr>
        <w:spacing w:before="100" w:beforeAutospacing="1" w:after="100" w:afterAutospacing="1"/>
        <w:rPr>
          <w:rFonts w:eastAsia="Times New Roman" w:cs="Times New Roman"/>
          <w:b/>
        </w:rPr>
      </w:pPr>
      <w:r w:rsidRPr="003979BA">
        <w:rPr>
          <w:rFonts w:eastAsia="Times New Roman" w:cs="Times New Roman"/>
          <w:b/>
        </w:rPr>
        <w:t xml:space="preserve">GCSCE INFORMAL COMPLAINT PROTOCOL: </w:t>
      </w:r>
    </w:p>
    <w:p w:rsidR="004546AC" w:rsidRPr="003979BA" w:rsidRDefault="004546AC" w:rsidP="004546AC">
      <w:pPr>
        <w:spacing w:before="100" w:beforeAutospacing="1" w:after="100" w:afterAutospacing="1"/>
        <w:rPr>
          <w:rFonts w:eastAsia="Times New Roman" w:cs="Times New Roman"/>
        </w:rPr>
      </w:pPr>
      <w:r w:rsidRPr="003979BA">
        <w:rPr>
          <w:rFonts w:eastAsia="Times New Roman" w:cs="Times New Roman"/>
        </w:rPr>
        <w:t xml:space="preserve">Grady’s Center of Spiritual Care and Education, and the Association for Clinical Pastoral Education, Inc. encourage persons to work out concerns or grievances informally, face-to-face, and in a spirit of collegiality and mutual respect.  All faculty are committed to resolving concerns or grievances in a spirit of collegiality and mutual respect. CPE students enrolled at the Center are encouraged to address their complaint first with the person(s) involved at the site to which they </w:t>
      </w:r>
      <w:proofErr w:type="gramStart"/>
      <w:r w:rsidRPr="003979BA">
        <w:rPr>
          <w:rFonts w:eastAsia="Times New Roman" w:cs="Times New Roman"/>
        </w:rPr>
        <w:t>are assigned</w:t>
      </w:r>
      <w:proofErr w:type="gramEnd"/>
      <w:r w:rsidRPr="003979BA">
        <w:rPr>
          <w:rFonts w:eastAsia="Times New Roman" w:cs="Times New Roman"/>
        </w:rPr>
        <w:t xml:space="preserve">.  </w:t>
      </w:r>
    </w:p>
    <w:p w:rsidR="004546AC" w:rsidRPr="003979BA" w:rsidRDefault="004546AC" w:rsidP="004546AC">
      <w:pPr>
        <w:spacing w:before="100" w:beforeAutospacing="1" w:after="100" w:afterAutospacing="1"/>
        <w:rPr>
          <w:rFonts w:eastAsia="Times New Roman" w:cs="Times New Roman"/>
        </w:rPr>
      </w:pPr>
      <w:r w:rsidRPr="003979BA">
        <w:rPr>
          <w:rFonts w:eastAsia="Times New Roman" w:cs="Times New Roman"/>
        </w:rPr>
        <w:t xml:space="preserve">The complainant also has access to the GCSCE Director of Chaplaincy and CPE, the Executive Director to whom the Director reports and to the chair of the professional advisory committee.  </w:t>
      </w:r>
    </w:p>
    <w:p w:rsidR="004546AC" w:rsidRPr="003979BA" w:rsidRDefault="004546AC" w:rsidP="004546AC">
      <w:pPr>
        <w:spacing w:before="100" w:beforeAutospacing="1" w:after="100" w:afterAutospacing="1"/>
        <w:rPr>
          <w:rFonts w:eastAsia="Times New Roman" w:cs="Times New Roman"/>
        </w:rPr>
      </w:pPr>
      <w:r w:rsidRPr="003979BA">
        <w:rPr>
          <w:rFonts w:eastAsia="Times New Roman" w:cs="Times New Roman"/>
        </w:rPr>
        <w:t xml:space="preserve">If a student is convinced that one or more ACPE educational and/or ethical standards has been violated (Standards 100, 300, 400), and there is no resolution of the matter after informal conversations by those involved, then a formal complaint may be sent to the GCSCE Director of CPE. </w:t>
      </w:r>
    </w:p>
    <w:p w:rsidR="004546AC" w:rsidRPr="003979BA" w:rsidRDefault="004546AC" w:rsidP="004546AC">
      <w:pPr>
        <w:spacing w:before="100" w:beforeAutospacing="1" w:after="100" w:afterAutospacing="1"/>
        <w:rPr>
          <w:rFonts w:eastAsia="Times New Roman" w:cs="Times New Roman"/>
        </w:rPr>
      </w:pPr>
      <w:r w:rsidRPr="003979BA">
        <w:rPr>
          <w:rFonts w:eastAsia="Times New Roman" w:cs="Times New Roman"/>
        </w:rPr>
        <w:t xml:space="preserve">A complaint </w:t>
      </w:r>
      <w:proofErr w:type="gramStart"/>
      <w:r w:rsidRPr="003979BA">
        <w:rPr>
          <w:rFonts w:eastAsia="Times New Roman" w:cs="Times New Roman"/>
        </w:rPr>
        <w:t>is defined as a grievance, presented in writing, and signed,</w:t>
      </w:r>
      <w:proofErr w:type="gramEnd"/>
      <w:r w:rsidRPr="003979BA">
        <w:rPr>
          <w:rFonts w:eastAsia="Times New Roman" w:cs="Times New Roman"/>
        </w:rPr>
        <w:t xml:space="preserve"> involving an</w:t>
      </w:r>
      <w:r>
        <w:rPr>
          <w:rFonts w:eastAsia="Times New Roman" w:cs="Times New Roman"/>
        </w:rPr>
        <w:t xml:space="preserve"> a</w:t>
      </w:r>
      <w:r w:rsidRPr="003979BA">
        <w:rPr>
          <w:rFonts w:eastAsia="Times New Roman" w:cs="Times New Roman"/>
        </w:rPr>
        <w:t xml:space="preserve">lleged violation of the educational or ethical standards established by ACPE by a faculty member.   </w:t>
      </w:r>
    </w:p>
    <w:p w:rsidR="004546AC" w:rsidRPr="003979BA" w:rsidRDefault="004546AC" w:rsidP="004546AC">
      <w:pPr>
        <w:spacing w:before="100" w:beforeAutospacing="1" w:after="100" w:afterAutospacing="1"/>
        <w:rPr>
          <w:rFonts w:eastAsia="Times New Roman" w:cs="Times New Roman"/>
        </w:rPr>
      </w:pPr>
      <w:r w:rsidRPr="003979BA">
        <w:rPr>
          <w:rFonts w:eastAsia="Times New Roman" w:cs="Times New Roman"/>
        </w:rPr>
        <w:lastRenderedPageBreak/>
        <w:t xml:space="preserve">A complaint must name an individual(s) over which the ACPE has jurisdiction and identification of ACPE Standard that </w:t>
      </w:r>
      <w:proofErr w:type="gramStart"/>
      <w:r w:rsidRPr="003979BA">
        <w:rPr>
          <w:rFonts w:eastAsia="Times New Roman" w:cs="Times New Roman"/>
        </w:rPr>
        <w:t>has been alleged</w:t>
      </w:r>
      <w:proofErr w:type="gramEnd"/>
      <w:r w:rsidRPr="003979BA">
        <w:rPr>
          <w:rFonts w:eastAsia="Times New Roman" w:cs="Times New Roman"/>
        </w:rPr>
        <w:t xml:space="preserve"> violated. </w:t>
      </w:r>
    </w:p>
    <w:p w:rsidR="004546AC" w:rsidRPr="00797FAC" w:rsidRDefault="004546AC" w:rsidP="004546AC">
      <w:pPr>
        <w:jc w:val="both"/>
        <w:rPr>
          <w:rFonts w:cs="Times New Roman"/>
          <w:color w:val="000000" w:themeColor="text1"/>
        </w:rPr>
      </w:pPr>
      <w:proofErr w:type="gramStart"/>
      <w:r w:rsidRPr="00797FAC">
        <w:rPr>
          <w:rFonts w:cs="Times New Roman"/>
          <w:color w:val="000000" w:themeColor="text1"/>
        </w:rPr>
        <w:t>Should a CPE student make a complaint about another CPE student or staff member at GCSCE, the suggestion is to begin within GCSCE before involving HR departments.</w:t>
      </w:r>
      <w:proofErr w:type="gramEnd"/>
      <w:r w:rsidRPr="00797FAC">
        <w:rPr>
          <w:rFonts w:cs="Times New Roman"/>
          <w:color w:val="000000" w:themeColor="text1"/>
        </w:rPr>
        <w:t xml:space="preserve"> </w:t>
      </w:r>
    </w:p>
    <w:p w:rsidR="004546AC" w:rsidRPr="00797FAC" w:rsidRDefault="004546AC" w:rsidP="004546AC">
      <w:pPr>
        <w:jc w:val="both"/>
        <w:rPr>
          <w:rFonts w:cs="Times New Roman"/>
          <w:color w:val="000000" w:themeColor="text1"/>
        </w:rPr>
      </w:pPr>
      <w:r w:rsidRPr="00797FAC">
        <w:rPr>
          <w:rFonts w:cs="Times New Roman"/>
          <w:color w:val="000000" w:themeColor="text1"/>
        </w:rPr>
        <w:t xml:space="preserve">Confidentiality is of utmost importance and those involved in any complaint procedure. </w:t>
      </w:r>
    </w:p>
    <w:p w:rsidR="004546AC" w:rsidRPr="003979BA" w:rsidRDefault="004546AC" w:rsidP="004546AC">
      <w:pPr>
        <w:spacing w:before="100" w:beforeAutospacing="1" w:after="100" w:afterAutospacing="1"/>
        <w:rPr>
          <w:rFonts w:eastAsia="Times New Roman" w:cs="Times New Roman"/>
          <w:b/>
        </w:rPr>
      </w:pPr>
      <w:r w:rsidRPr="003979BA">
        <w:rPr>
          <w:rFonts w:eastAsia="Times New Roman" w:cs="Times New Roman"/>
          <w:b/>
        </w:rPr>
        <w:t xml:space="preserve">GCSCE FORMAL COMPLAINT PROCEDURE:  </w:t>
      </w:r>
    </w:p>
    <w:p w:rsidR="004546AC" w:rsidRPr="003979BA" w:rsidRDefault="004546AC" w:rsidP="004546AC">
      <w:pPr>
        <w:spacing w:before="100" w:beforeAutospacing="1" w:after="100" w:afterAutospacing="1"/>
        <w:rPr>
          <w:rFonts w:eastAsia="Times New Roman" w:cs="Times New Roman"/>
        </w:rPr>
      </w:pPr>
      <w:r w:rsidRPr="003979BA">
        <w:rPr>
          <w:rFonts w:eastAsia="Times New Roman" w:cs="Times New Roman"/>
        </w:rPr>
        <w:t xml:space="preserve">1. Formal complaints </w:t>
      </w:r>
      <w:proofErr w:type="gramStart"/>
      <w:r w:rsidRPr="003979BA">
        <w:rPr>
          <w:rFonts w:eastAsia="Times New Roman" w:cs="Times New Roman"/>
        </w:rPr>
        <w:t>should be sent</w:t>
      </w:r>
      <w:proofErr w:type="gramEnd"/>
      <w:r w:rsidRPr="003979BA">
        <w:rPr>
          <w:rFonts w:eastAsia="Times New Roman" w:cs="Times New Roman"/>
        </w:rPr>
        <w:t xml:space="preserve"> in writing to the GCSCE Director.   </w:t>
      </w:r>
    </w:p>
    <w:p w:rsidR="004546AC" w:rsidRPr="003979BA" w:rsidRDefault="004546AC" w:rsidP="004546AC">
      <w:pPr>
        <w:spacing w:before="100" w:beforeAutospacing="1" w:after="100" w:afterAutospacing="1"/>
        <w:rPr>
          <w:rFonts w:eastAsia="Times New Roman" w:cs="Times New Roman"/>
        </w:rPr>
      </w:pPr>
      <w:r w:rsidRPr="003979BA">
        <w:rPr>
          <w:rFonts w:eastAsia="Times New Roman" w:cs="Times New Roman"/>
        </w:rPr>
        <w:t xml:space="preserve">a. If the complaint </w:t>
      </w:r>
      <w:proofErr w:type="gramStart"/>
      <w:r w:rsidRPr="003979BA">
        <w:rPr>
          <w:rFonts w:eastAsia="Times New Roman" w:cs="Times New Roman"/>
        </w:rPr>
        <w:t>is made</w:t>
      </w:r>
      <w:proofErr w:type="gramEnd"/>
      <w:r w:rsidRPr="003979BA">
        <w:rPr>
          <w:rFonts w:eastAsia="Times New Roman" w:cs="Times New Roman"/>
        </w:rPr>
        <w:t xml:space="preserve"> against the Director of GCSCE, the complainant will submit the written complaint directly to the PAG chair, who will then convene the PAG’s Complaint Sub-Committee. </w:t>
      </w:r>
    </w:p>
    <w:p w:rsidR="004546AC" w:rsidRPr="003979BA" w:rsidRDefault="004546AC" w:rsidP="004546AC">
      <w:pPr>
        <w:spacing w:before="100" w:beforeAutospacing="1" w:after="100" w:afterAutospacing="1"/>
        <w:rPr>
          <w:rFonts w:eastAsia="Times New Roman" w:cs="Times New Roman"/>
        </w:rPr>
      </w:pPr>
      <w:proofErr w:type="gramStart"/>
      <w:r w:rsidRPr="003979BA">
        <w:rPr>
          <w:rFonts w:eastAsia="Times New Roman" w:cs="Times New Roman"/>
        </w:rPr>
        <w:t>2. Upon receipt in writing of the complaint</w:t>
      </w:r>
      <w:proofErr w:type="gramEnd"/>
      <w:r w:rsidRPr="003979BA">
        <w:rPr>
          <w:rFonts w:eastAsia="Times New Roman" w:cs="Times New Roman"/>
        </w:rPr>
        <w:t xml:space="preserve"> the GCSCE Director has ten (10) working days, to meet with the complainant, the ACPE Certified Educator or the student involved.  When a complaint is reviewed, all those involved shall </w:t>
      </w:r>
      <w:proofErr w:type="gramStart"/>
      <w:r w:rsidRPr="003979BA">
        <w:rPr>
          <w:rFonts w:eastAsia="Times New Roman" w:cs="Times New Roman"/>
        </w:rPr>
        <w:t>be notified</w:t>
      </w:r>
      <w:proofErr w:type="gramEnd"/>
      <w:r w:rsidRPr="003979BA">
        <w:rPr>
          <w:rFonts w:eastAsia="Times New Roman" w:cs="Times New Roman"/>
        </w:rPr>
        <w:t xml:space="preserve"> and be given an opportunity to present information.   </w:t>
      </w:r>
    </w:p>
    <w:p w:rsidR="004546AC" w:rsidRPr="003979BA" w:rsidRDefault="004546AC" w:rsidP="004546AC">
      <w:pPr>
        <w:spacing w:before="100" w:beforeAutospacing="1" w:after="100" w:afterAutospacing="1"/>
        <w:rPr>
          <w:rFonts w:eastAsia="Times New Roman" w:cs="Times New Roman"/>
        </w:rPr>
      </w:pPr>
      <w:r w:rsidRPr="003979BA">
        <w:rPr>
          <w:rFonts w:eastAsia="Times New Roman" w:cs="Times New Roman"/>
        </w:rPr>
        <w:t xml:space="preserve">3. The GCSCE Director will address the complaint and attempt to resolve the particular grievance within ten (10) working days of meeting the parties involved. </w:t>
      </w:r>
    </w:p>
    <w:p w:rsidR="004546AC" w:rsidRPr="003979BA" w:rsidRDefault="004546AC" w:rsidP="004546AC">
      <w:pPr>
        <w:spacing w:before="100" w:beforeAutospacing="1" w:after="100" w:afterAutospacing="1"/>
        <w:rPr>
          <w:rFonts w:eastAsia="Times New Roman" w:cs="Times New Roman"/>
        </w:rPr>
      </w:pPr>
      <w:r w:rsidRPr="003979BA">
        <w:rPr>
          <w:rFonts w:eastAsia="Times New Roman" w:cs="Times New Roman"/>
        </w:rPr>
        <w:t xml:space="preserve">4. If the proposed resolution is not satisfactory to the complainant, the complaint may request a meeting with the chair of the Center’s PAG.  </w:t>
      </w:r>
    </w:p>
    <w:p w:rsidR="004546AC" w:rsidRPr="003979BA" w:rsidRDefault="004546AC" w:rsidP="004546AC">
      <w:pPr>
        <w:spacing w:before="100" w:beforeAutospacing="1" w:after="100" w:afterAutospacing="1"/>
        <w:rPr>
          <w:rFonts w:eastAsia="Times New Roman" w:cs="Times New Roman"/>
        </w:rPr>
      </w:pPr>
      <w:r w:rsidRPr="003979BA">
        <w:rPr>
          <w:rFonts w:eastAsia="Times New Roman" w:cs="Times New Roman"/>
        </w:rPr>
        <w:t xml:space="preserve">5. If the in-house process does not resolve the complaint or issues remain over which ACPE has jurisdiction, the complainant may forward the complaint directly to the ACPE’s National Office Accreditation Commission Chair.  </w:t>
      </w:r>
    </w:p>
    <w:p w:rsidR="004546AC" w:rsidRPr="003979BA" w:rsidRDefault="004546AC" w:rsidP="004546AC">
      <w:pPr>
        <w:spacing w:before="100" w:beforeAutospacing="1" w:after="100" w:afterAutospacing="1"/>
        <w:rPr>
          <w:rFonts w:eastAsia="Times New Roman" w:cs="Times New Roman"/>
        </w:rPr>
      </w:pPr>
      <w:r w:rsidRPr="003979BA">
        <w:rPr>
          <w:rFonts w:eastAsia="Times New Roman" w:cs="Times New Roman"/>
        </w:rPr>
        <w:t xml:space="preserve">6. If the complaint relates to the violation of an ethics Standard of the ACPE (Standard 100), he/she may file a complaint with the Executive Director of the ACPE, One West Court Square, Suite 325, Decatur, GA 30030 404 320-1472 within 30 days of the date of the Center’s decision following the consultation.  The complainant(s) </w:t>
      </w:r>
      <w:proofErr w:type="gramStart"/>
      <w:r w:rsidRPr="003979BA">
        <w:rPr>
          <w:rFonts w:eastAsia="Times New Roman" w:cs="Times New Roman"/>
        </w:rPr>
        <w:t>will be advised of the ACPE process of filing a complaint and referred to the procedure as outlined in the 2016 Processing Complaints of Ethics Code Violations Manual</w:t>
      </w:r>
      <w:proofErr w:type="gramEnd"/>
      <w:r w:rsidRPr="003979BA">
        <w:rPr>
          <w:rFonts w:eastAsia="Times New Roman" w:cs="Times New Roman"/>
        </w:rPr>
        <w:t xml:space="preserve">.  If the complaint relates to a violation of an educational/accreditation Standard of the ACPE (Standard 300) she/he may file a complaint with the Chairperson of the ACPE Accreditation Commission; ACPE; One West Court Square; Suite 325; Decatur, GA 30030 within 30 days of the date of the Center’s decision following the consultation.  The complainant(s) </w:t>
      </w:r>
      <w:proofErr w:type="gramStart"/>
      <w:r w:rsidRPr="003979BA">
        <w:rPr>
          <w:rFonts w:eastAsia="Times New Roman" w:cs="Times New Roman"/>
        </w:rPr>
        <w:t>will be advised of the ACPE process of filing an educational complaint and referred to the procedure as outlined in the 2016 Accreditation Manual and Appendix 10</w:t>
      </w:r>
      <w:proofErr w:type="gramEnd"/>
      <w:r w:rsidRPr="003979BA">
        <w:rPr>
          <w:rFonts w:eastAsia="Times New Roman" w:cs="Times New Roman"/>
        </w:rPr>
        <w:t xml:space="preserve">: Complaints Alleging Violations of ACPE Educational Standards in Educational Programs. </w:t>
      </w:r>
    </w:p>
    <w:p w:rsidR="004546AC" w:rsidRPr="003979BA" w:rsidRDefault="004546AC" w:rsidP="004546AC">
      <w:pPr>
        <w:spacing w:before="100" w:beforeAutospacing="1" w:after="100" w:afterAutospacing="1"/>
        <w:rPr>
          <w:rFonts w:eastAsia="Times New Roman" w:cs="Times New Roman"/>
        </w:rPr>
      </w:pPr>
      <w:r w:rsidRPr="003979BA">
        <w:rPr>
          <w:rFonts w:eastAsia="Times New Roman" w:cs="Times New Roman"/>
          <w:b/>
        </w:rPr>
        <w:t>PLEASE NOTE</w:t>
      </w:r>
      <w:r w:rsidRPr="003979BA">
        <w:rPr>
          <w:rFonts w:eastAsia="Times New Roman" w:cs="Times New Roman"/>
        </w:rPr>
        <w:t xml:space="preserve"> - The above described procedure for processing complaints within the GCSCE CPE center can be bypassed when the student determines that she/he cannot receive a just or </w:t>
      </w:r>
      <w:r w:rsidRPr="003979BA">
        <w:rPr>
          <w:rFonts w:eastAsia="Times New Roman" w:cs="Times New Roman"/>
        </w:rPr>
        <w:lastRenderedPageBreak/>
        <w:t xml:space="preserve">impartial hearing. In such a </w:t>
      </w:r>
      <w:proofErr w:type="gramStart"/>
      <w:r w:rsidRPr="003979BA">
        <w:rPr>
          <w:rFonts w:eastAsia="Times New Roman" w:cs="Times New Roman"/>
        </w:rPr>
        <w:t>case</w:t>
      </w:r>
      <w:proofErr w:type="gramEnd"/>
      <w:r w:rsidRPr="003979BA">
        <w:rPr>
          <w:rFonts w:eastAsia="Times New Roman" w:cs="Times New Roman"/>
        </w:rPr>
        <w:t xml:space="preserve"> the student can bypass the GCSCE Complaint Process and follow the Guidelines in #5 and #6 above.</w:t>
      </w:r>
    </w:p>
    <w:p w:rsidR="004546AC" w:rsidRDefault="004546AC" w:rsidP="004546AC">
      <w:pPr>
        <w:spacing w:before="0"/>
        <w:ind w:left="720"/>
        <w:rPr>
          <w:rFonts w:cs="Times New Roman"/>
          <w:color w:val="000000" w:themeColor="text1"/>
        </w:rPr>
      </w:pPr>
    </w:p>
    <w:p w:rsidR="004546AC" w:rsidRDefault="004546AC" w:rsidP="004546AC">
      <w:pPr>
        <w:spacing w:before="0" w:after="0"/>
        <w:rPr>
          <w:color w:val="000000" w:themeColor="text1"/>
        </w:rPr>
      </w:pPr>
    </w:p>
    <w:p w:rsidR="004546AC" w:rsidRDefault="004546AC" w:rsidP="004546AC">
      <w:pPr>
        <w:spacing w:after="0"/>
        <w:jc w:val="both"/>
        <w:rPr>
          <w:rFonts w:cs="Times New Roman"/>
        </w:rPr>
      </w:pPr>
      <w:r>
        <w:rPr>
          <w:rFonts w:cs="Times New Roman"/>
        </w:rPr>
        <w:t>_________________________________________</w:t>
      </w:r>
    </w:p>
    <w:p w:rsidR="004546AC" w:rsidRDefault="004546AC" w:rsidP="004546AC">
      <w:pPr>
        <w:spacing w:after="0"/>
        <w:jc w:val="both"/>
        <w:rPr>
          <w:rFonts w:cs="Times New Roman"/>
        </w:rPr>
      </w:pPr>
      <w:r>
        <w:rPr>
          <w:rFonts w:cs="Times New Roman"/>
        </w:rPr>
        <w:t>Director of CPE and Chaplaincy Services</w:t>
      </w:r>
    </w:p>
    <w:p w:rsidR="004546AC" w:rsidRPr="00797FAC" w:rsidRDefault="004546AC" w:rsidP="004546AC">
      <w:pPr>
        <w:spacing w:before="0" w:after="0"/>
        <w:rPr>
          <w:color w:val="000000" w:themeColor="text1"/>
        </w:rPr>
      </w:pPr>
    </w:p>
    <w:p w:rsidR="004546AC" w:rsidRPr="00797FAC" w:rsidRDefault="004546AC" w:rsidP="004546AC">
      <w:pPr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REVIEWED &amp; APPROVED: June 4, 2019</w:t>
      </w:r>
    </w:p>
    <w:p w:rsidR="004546AC" w:rsidRPr="00797FAC" w:rsidRDefault="004546AC" w:rsidP="004546AC">
      <w:pPr>
        <w:rPr>
          <w:rFonts w:cs="Times New Roman"/>
          <w:color w:val="000000" w:themeColor="text1"/>
        </w:rPr>
      </w:pPr>
    </w:p>
    <w:p w:rsidR="004546AC" w:rsidRDefault="004546AC" w:rsidP="004546AC">
      <w:pPr>
        <w:spacing w:before="0"/>
        <w:ind w:left="720"/>
        <w:rPr>
          <w:rFonts w:cs="Times New Roman"/>
          <w:color w:val="000000" w:themeColor="text1"/>
        </w:rPr>
      </w:pPr>
    </w:p>
    <w:p w:rsidR="004546AC" w:rsidRDefault="004546AC" w:rsidP="004546AC">
      <w:pPr>
        <w:spacing w:before="0"/>
        <w:ind w:left="720"/>
        <w:rPr>
          <w:rFonts w:cs="Times New Roman"/>
          <w:color w:val="000000" w:themeColor="text1"/>
        </w:rPr>
      </w:pPr>
    </w:p>
    <w:p w:rsidR="004546AC" w:rsidRDefault="004546AC" w:rsidP="004546AC">
      <w:pPr>
        <w:spacing w:before="0"/>
        <w:ind w:left="720"/>
        <w:rPr>
          <w:rFonts w:cs="Times New Roman"/>
          <w:color w:val="000000" w:themeColor="text1"/>
        </w:rPr>
      </w:pPr>
    </w:p>
    <w:p w:rsidR="004546AC" w:rsidRDefault="004546AC" w:rsidP="004546AC">
      <w:pPr>
        <w:spacing w:before="0"/>
        <w:ind w:left="720"/>
        <w:rPr>
          <w:rFonts w:cs="Times New Roman"/>
          <w:color w:val="000000" w:themeColor="text1"/>
        </w:rPr>
      </w:pPr>
    </w:p>
    <w:p w:rsidR="004546AC" w:rsidRDefault="004546AC" w:rsidP="004546AC">
      <w:pPr>
        <w:spacing w:before="0"/>
        <w:ind w:left="720"/>
        <w:rPr>
          <w:rFonts w:cs="Times New Roman"/>
          <w:color w:val="000000" w:themeColor="text1"/>
        </w:rPr>
      </w:pPr>
    </w:p>
    <w:p w:rsidR="004546AC" w:rsidRDefault="004546AC" w:rsidP="004546AC">
      <w:pPr>
        <w:spacing w:before="0"/>
        <w:ind w:left="720"/>
        <w:rPr>
          <w:rFonts w:cs="Times New Roman"/>
          <w:color w:val="000000" w:themeColor="text1"/>
        </w:rPr>
      </w:pPr>
    </w:p>
    <w:p w:rsidR="004546AC" w:rsidRDefault="004546AC" w:rsidP="004546AC">
      <w:pPr>
        <w:spacing w:before="0"/>
        <w:ind w:left="720"/>
        <w:rPr>
          <w:rFonts w:cs="Times New Roman"/>
          <w:color w:val="000000" w:themeColor="text1"/>
        </w:rPr>
      </w:pPr>
    </w:p>
    <w:p w:rsidR="004546AC" w:rsidRDefault="004546AC" w:rsidP="004546AC">
      <w:pPr>
        <w:spacing w:before="0"/>
        <w:ind w:left="720"/>
        <w:rPr>
          <w:rFonts w:cs="Times New Roman"/>
          <w:color w:val="000000" w:themeColor="text1"/>
        </w:rPr>
      </w:pPr>
    </w:p>
    <w:p w:rsidR="004546AC" w:rsidRDefault="004546AC" w:rsidP="004546AC">
      <w:pPr>
        <w:spacing w:before="0"/>
        <w:ind w:left="720"/>
        <w:rPr>
          <w:rFonts w:cs="Times New Roman"/>
          <w:color w:val="000000" w:themeColor="text1"/>
        </w:rPr>
      </w:pPr>
    </w:p>
    <w:p w:rsidR="004546AC" w:rsidRDefault="004546AC" w:rsidP="004546AC">
      <w:pPr>
        <w:spacing w:before="0"/>
        <w:ind w:left="720"/>
        <w:rPr>
          <w:rFonts w:cs="Times New Roman"/>
          <w:color w:val="000000" w:themeColor="text1"/>
        </w:rPr>
      </w:pPr>
    </w:p>
    <w:p w:rsidR="004546AC" w:rsidRDefault="004546AC" w:rsidP="004546AC">
      <w:pPr>
        <w:spacing w:before="0"/>
        <w:ind w:left="720"/>
        <w:rPr>
          <w:rFonts w:cs="Times New Roman"/>
          <w:color w:val="000000" w:themeColor="text1"/>
        </w:rPr>
      </w:pPr>
    </w:p>
    <w:p w:rsidR="004546AC" w:rsidRDefault="004546AC" w:rsidP="004546AC">
      <w:pPr>
        <w:spacing w:before="0"/>
        <w:ind w:left="720"/>
        <w:rPr>
          <w:rFonts w:cs="Times New Roman"/>
          <w:color w:val="000000" w:themeColor="text1"/>
        </w:rPr>
      </w:pPr>
    </w:p>
    <w:p w:rsidR="004546AC" w:rsidRDefault="004546AC" w:rsidP="004546AC">
      <w:pPr>
        <w:spacing w:before="0"/>
        <w:ind w:left="720"/>
        <w:rPr>
          <w:rFonts w:cs="Times New Roman"/>
          <w:color w:val="000000" w:themeColor="text1"/>
        </w:rPr>
      </w:pPr>
    </w:p>
    <w:p w:rsidR="004546AC" w:rsidRDefault="004546AC" w:rsidP="004546AC">
      <w:pPr>
        <w:spacing w:before="0"/>
        <w:ind w:left="720"/>
        <w:rPr>
          <w:rFonts w:cs="Times New Roman"/>
          <w:color w:val="000000" w:themeColor="text1"/>
        </w:rPr>
      </w:pPr>
    </w:p>
    <w:p w:rsidR="004546AC" w:rsidRDefault="004546AC" w:rsidP="004546AC">
      <w:pPr>
        <w:spacing w:before="0"/>
        <w:ind w:left="720"/>
        <w:rPr>
          <w:rFonts w:cs="Times New Roman"/>
          <w:color w:val="000000" w:themeColor="text1"/>
        </w:rPr>
      </w:pPr>
    </w:p>
    <w:p w:rsidR="004546AC" w:rsidRDefault="004546AC" w:rsidP="004546AC">
      <w:pPr>
        <w:spacing w:before="0"/>
        <w:ind w:left="720"/>
        <w:rPr>
          <w:rFonts w:cs="Times New Roman"/>
          <w:color w:val="000000" w:themeColor="text1"/>
        </w:rPr>
      </w:pPr>
    </w:p>
    <w:p w:rsidR="004546AC" w:rsidRDefault="004546AC" w:rsidP="004546AC">
      <w:pPr>
        <w:spacing w:before="0"/>
        <w:ind w:left="720"/>
        <w:rPr>
          <w:rFonts w:cs="Times New Roman"/>
          <w:color w:val="000000" w:themeColor="text1"/>
        </w:rPr>
      </w:pPr>
    </w:p>
    <w:p w:rsidR="004546AC" w:rsidRDefault="004546AC" w:rsidP="004546AC">
      <w:pPr>
        <w:spacing w:before="0"/>
        <w:ind w:left="720"/>
        <w:rPr>
          <w:rFonts w:cs="Times New Roman"/>
          <w:color w:val="000000" w:themeColor="text1"/>
        </w:rPr>
      </w:pPr>
    </w:p>
    <w:p w:rsidR="004546AC" w:rsidRDefault="004546AC" w:rsidP="004546AC">
      <w:pPr>
        <w:autoSpaceDE w:val="0"/>
        <w:autoSpaceDN w:val="0"/>
        <w:adjustRightInd w:val="0"/>
        <w:spacing w:before="0" w:after="0"/>
        <w:jc w:val="center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autoSpaceDE w:val="0"/>
        <w:autoSpaceDN w:val="0"/>
        <w:adjustRightInd w:val="0"/>
        <w:spacing w:before="0" w:after="0"/>
        <w:jc w:val="center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autoSpaceDE w:val="0"/>
        <w:autoSpaceDN w:val="0"/>
        <w:adjustRightInd w:val="0"/>
        <w:spacing w:before="0" w:after="0"/>
        <w:jc w:val="center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autoSpaceDE w:val="0"/>
        <w:autoSpaceDN w:val="0"/>
        <w:adjustRightInd w:val="0"/>
        <w:spacing w:before="0" w:after="0"/>
        <w:jc w:val="center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autoSpaceDE w:val="0"/>
        <w:autoSpaceDN w:val="0"/>
        <w:adjustRightInd w:val="0"/>
        <w:spacing w:before="0" w:after="0"/>
        <w:jc w:val="center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autoSpaceDE w:val="0"/>
        <w:autoSpaceDN w:val="0"/>
        <w:adjustRightInd w:val="0"/>
        <w:spacing w:before="0" w:after="0"/>
        <w:jc w:val="center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autoSpaceDE w:val="0"/>
        <w:autoSpaceDN w:val="0"/>
        <w:adjustRightInd w:val="0"/>
        <w:spacing w:before="0" w:after="0"/>
        <w:jc w:val="center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autoSpaceDE w:val="0"/>
        <w:autoSpaceDN w:val="0"/>
        <w:adjustRightInd w:val="0"/>
        <w:spacing w:before="0" w:after="0"/>
        <w:jc w:val="center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autoSpaceDE w:val="0"/>
        <w:autoSpaceDN w:val="0"/>
        <w:adjustRightInd w:val="0"/>
        <w:spacing w:before="0" w:after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ACPE/CLINICAL PASTORAL EDUCATION</w:t>
      </w:r>
    </w:p>
    <w:p w:rsidR="004546AC" w:rsidRDefault="004546AC" w:rsidP="004546AC">
      <w:pPr>
        <w:autoSpaceDE w:val="0"/>
        <w:autoSpaceDN w:val="0"/>
        <w:adjustRightInd w:val="0"/>
        <w:spacing w:before="0" w:after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COMPLAINT FORM (Page 1)</w:t>
      </w:r>
    </w:p>
    <w:p w:rsidR="004546AC" w:rsidRDefault="004546AC" w:rsidP="004546AC">
      <w:pPr>
        <w:autoSpaceDE w:val="0"/>
        <w:autoSpaceDN w:val="0"/>
        <w:adjustRightInd w:val="0"/>
        <w:spacing w:before="0" w:after="0"/>
        <w:jc w:val="center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Date: </w:t>
      </w:r>
      <w:r>
        <w:rPr>
          <w:rFonts w:ascii="Arial-BoldMT" w:hAnsi="Arial-BoldMT" w:cs="Arial-BoldMT"/>
          <w:b/>
          <w:bCs/>
        </w:rPr>
        <w:tab/>
        <w:t>_____________________________________</w:t>
      </w: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To: </w:t>
      </w:r>
      <w:r>
        <w:rPr>
          <w:rFonts w:ascii="Arial-BoldMT" w:hAnsi="Arial-BoldMT" w:cs="Arial-BoldMT"/>
          <w:b/>
          <w:bCs/>
        </w:rPr>
        <w:tab/>
        <w:t>_____________________________________</w:t>
      </w: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From: _____________________________________</w:t>
      </w: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Re: </w:t>
      </w:r>
      <w:r>
        <w:rPr>
          <w:rFonts w:ascii="Arial-BoldMT" w:hAnsi="Arial-BoldMT" w:cs="Arial-BoldMT"/>
          <w:b/>
          <w:bCs/>
        </w:rPr>
        <w:tab/>
        <w:t>_____________________________________</w:t>
      </w: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Please state the circumstances of the problem, complaint, or grievance about which you are concerned, and list the attempts that </w:t>
      </w:r>
      <w:proofErr w:type="gramStart"/>
      <w:r>
        <w:rPr>
          <w:rFonts w:ascii="Arial-BoldMT" w:hAnsi="Arial-BoldMT" w:cs="Arial-BoldMT"/>
          <w:b/>
          <w:bCs/>
        </w:rPr>
        <w:t>have already been made</w:t>
      </w:r>
      <w:proofErr w:type="gramEnd"/>
      <w:r>
        <w:rPr>
          <w:rFonts w:ascii="Arial-BoldMT" w:hAnsi="Arial-BoldMT" w:cs="Arial-BoldMT"/>
          <w:b/>
          <w:bCs/>
        </w:rPr>
        <w:t xml:space="preserve"> toward resolution of same (use additional page, if needed).</w:t>
      </w: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________________________________________________________________</w:t>
      </w: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  <w:r>
        <w:rPr>
          <w:rFonts w:ascii="ArialMT" w:hAnsi="ArialMT" w:cs="ArialMT"/>
        </w:rPr>
        <w:t>Signature:</w:t>
      </w: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</w:t>
      </w: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  <w:r>
        <w:rPr>
          <w:rFonts w:ascii="ArialMT" w:hAnsi="ArialMT" w:cs="ArialMT"/>
        </w:rPr>
        <w:t>For office use only:</w:t>
      </w: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Date </w:t>
      </w:r>
      <w:proofErr w:type="gramStart"/>
      <w:r>
        <w:rPr>
          <w:rFonts w:ascii="ArialMT" w:hAnsi="ArialMT" w:cs="ArialMT"/>
        </w:rPr>
        <w:t>received:</w:t>
      </w:r>
      <w:proofErr w:type="gramEnd"/>
      <w:r>
        <w:rPr>
          <w:rFonts w:ascii="ArialMT" w:hAnsi="ArialMT" w:cs="ArialMT"/>
        </w:rPr>
        <w:t xml:space="preserve"> _____________</w:t>
      </w: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  <w:r>
        <w:rPr>
          <w:rFonts w:ascii="ArialMT" w:hAnsi="ArialMT" w:cs="ArialMT"/>
        </w:rPr>
        <w:t>Received by: _____________</w:t>
      </w: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  <w:r>
        <w:rPr>
          <w:rFonts w:ascii="ArialMT" w:hAnsi="ArialMT" w:cs="ArialMT"/>
        </w:rPr>
        <w:t>Date copies forwarded to involved parties: _____________</w:t>
      </w:r>
    </w:p>
    <w:p w:rsidR="004546AC" w:rsidRDefault="004546AC" w:rsidP="004546AC">
      <w:pPr>
        <w:rPr>
          <w:rFonts w:cs="Times New Roman"/>
          <w:b/>
          <w:iCs/>
        </w:rPr>
      </w:pPr>
      <w:r>
        <w:rPr>
          <w:rFonts w:ascii="ArialMT" w:hAnsi="ArialMT" w:cs="ArialMT"/>
        </w:rPr>
        <w:t>Consultation date: ___________________</w:t>
      </w:r>
    </w:p>
    <w:p w:rsidR="004546AC" w:rsidRDefault="004546AC" w:rsidP="004546AC">
      <w:pPr>
        <w:rPr>
          <w:rFonts w:cs="Times New Roman"/>
          <w:b/>
          <w:iCs/>
        </w:rPr>
      </w:pPr>
    </w:p>
    <w:p w:rsidR="004546AC" w:rsidRDefault="004546AC" w:rsidP="004546AC">
      <w:pPr>
        <w:autoSpaceDE w:val="0"/>
        <w:autoSpaceDN w:val="0"/>
        <w:adjustRightInd w:val="0"/>
        <w:spacing w:before="0" w:after="0"/>
        <w:jc w:val="center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autoSpaceDE w:val="0"/>
        <w:autoSpaceDN w:val="0"/>
        <w:adjustRightInd w:val="0"/>
        <w:spacing w:before="0" w:after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ACPE/CLINICAL PASTORAL EDUCATION</w:t>
      </w:r>
    </w:p>
    <w:p w:rsidR="004546AC" w:rsidRDefault="004546AC" w:rsidP="004546AC">
      <w:pPr>
        <w:autoSpaceDE w:val="0"/>
        <w:autoSpaceDN w:val="0"/>
        <w:adjustRightInd w:val="0"/>
        <w:spacing w:before="0" w:after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COMPLAINT FORM (Page 2)</w:t>
      </w:r>
    </w:p>
    <w:p w:rsidR="004546AC" w:rsidRDefault="004546AC" w:rsidP="004546AC">
      <w:pPr>
        <w:autoSpaceDE w:val="0"/>
        <w:autoSpaceDN w:val="0"/>
        <w:adjustRightInd w:val="0"/>
        <w:spacing w:before="0" w:after="0"/>
        <w:jc w:val="center"/>
        <w:rPr>
          <w:rFonts w:ascii="Arial-BoldMT" w:hAnsi="Arial-BoldMT" w:cs="Arial-BoldMT"/>
          <w:b/>
          <w:bCs/>
        </w:rPr>
      </w:pPr>
    </w:p>
    <w:p w:rsidR="004546AC" w:rsidRDefault="004546AC" w:rsidP="004546AC">
      <w:pPr>
        <w:pBdr>
          <w:bottom w:val="single" w:sz="12" w:space="1" w:color="auto"/>
        </w:pBd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  <w:r>
        <w:rPr>
          <w:rFonts w:ascii="ArialMT" w:hAnsi="ArialMT" w:cs="ArialMT"/>
        </w:rPr>
        <w:t>Members of Consultation (name and title):</w:t>
      </w: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</w:p>
    <w:p w:rsidR="004546AC" w:rsidRDefault="004546AC" w:rsidP="004546A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  <w:r>
        <w:rPr>
          <w:rFonts w:ascii="ArialMT" w:hAnsi="ArialMT" w:cs="ArialMT"/>
        </w:rPr>
        <w:t>Summary of Consultation:</w:t>
      </w:r>
    </w:p>
    <w:p w:rsidR="004546AC" w:rsidRDefault="004546AC" w:rsidP="004546A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  <w:r>
        <w:rPr>
          <w:rFonts w:ascii="ArialMT" w:hAnsi="ArialMT" w:cs="ArialMT"/>
        </w:rPr>
        <w:t>Decision/Resolution:</w:t>
      </w:r>
    </w:p>
    <w:p w:rsidR="004546AC" w:rsidRDefault="004546AC" w:rsidP="004546A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</w:p>
    <w:p w:rsidR="004546AC" w:rsidRDefault="004546AC" w:rsidP="004546A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</w:p>
    <w:p w:rsidR="004546AC" w:rsidRDefault="004546AC" w:rsidP="004546A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</w:t>
      </w: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  <w:r>
        <w:rPr>
          <w:rFonts w:ascii="ArialMT" w:hAnsi="ArialMT" w:cs="ArialMT"/>
        </w:rPr>
        <w:t>Signature</w:t>
      </w:r>
    </w:p>
    <w:p w:rsidR="004546AC" w:rsidRDefault="004546AC" w:rsidP="004546AC">
      <w:pPr>
        <w:autoSpaceDE w:val="0"/>
        <w:autoSpaceDN w:val="0"/>
        <w:adjustRightInd w:val="0"/>
        <w:spacing w:before="0" w:after="0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</w:t>
      </w:r>
    </w:p>
    <w:p w:rsidR="004546AC" w:rsidRDefault="004546AC" w:rsidP="004546AC">
      <w:pPr>
        <w:rPr>
          <w:rFonts w:cs="Times New Roman"/>
          <w:b/>
          <w:iCs/>
        </w:rPr>
      </w:pPr>
      <w:r>
        <w:rPr>
          <w:rFonts w:ascii="ArialMT" w:hAnsi="ArialMT" w:cs="ArialMT"/>
        </w:rPr>
        <w:t>Title</w:t>
      </w:r>
    </w:p>
    <w:p w:rsidR="004546AC" w:rsidRDefault="004546AC" w:rsidP="004546AC">
      <w:pPr>
        <w:rPr>
          <w:rFonts w:cs="Times New Roman"/>
          <w:b/>
          <w:iCs/>
        </w:rPr>
      </w:pPr>
    </w:p>
    <w:p w:rsidR="004546AC" w:rsidRDefault="004546AC" w:rsidP="004546AC">
      <w:pPr>
        <w:rPr>
          <w:rFonts w:cs="Times New Roman"/>
          <w:b/>
          <w:iCs/>
        </w:rPr>
      </w:pPr>
    </w:p>
    <w:p w:rsidR="004546AC" w:rsidRDefault="004546AC" w:rsidP="004546AC">
      <w:pPr>
        <w:rPr>
          <w:rFonts w:cs="Times New Roman"/>
          <w:b/>
          <w:iCs/>
        </w:rPr>
      </w:pPr>
    </w:p>
    <w:p w:rsidR="004546AC" w:rsidRDefault="004546AC" w:rsidP="004546AC">
      <w:pPr>
        <w:rPr>
          <w:rFonts w:cs="Times New Roman"/>
          <w:b/>
          <w:iCs/>
        </w:rPr>
      </w:pPr>
    </w:p>
    <w:p w:rsidR="00714399" w:rsidRDefault="00714399">
      <w:bookmarkStart w:id="0" w:name="_GoBack"/>
      <w:bookmarkEnd w:id="0"/>
    </w:p>
    <w:sectPr w:rsidR="00714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AC"/>
    <w:rsid w:val="004546AC"/>
    <w:rsid w:val="0071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CFD0E-3153-4507-B590-1D1A20B0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6AC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4546AC"/>
    <w:pPr>
      <w:spacing w:before="0" w:after="0"/>
      <w:jc w:val="center"/>
      <w:outlineLvl w:val="1"/>
    </w:pPr>
    <w:rPr>
      <w:rFonts w:eastAsia="Times New Roman" w:cs="Times New Roman"/>
      <w:b/>
      <w:bCs/>
      <w:color w:val="000000" w:themeColor="text1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46AC"/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character" w:styleId="Hyperlink">
    <w:name w:val="Hyperlink"/>
    <w:rsid w:val="004546AC"/>
    <w:rPr>
      <w:color w:val="0000FF"/>
      <w:u w:val="single"/>
    </w:rPr>
  </w:style>
  <w:style w:type="character" w:styleId="Strong">
    <w:name w:val="Strong"/>
    <w:uiPriority w:val="22"/>
    <w:qFormat/>
    <w:rsid w:val="004546AC"/>
    <w:rPr>
      <w:b/>
      <w:bCs/>
    </w:rPr>
  </w:style>
  <w:style w:type="character" w:customStyle="1" w:styleId="apple-converted-space">
    <w:name w:val="apple-converted-space"/>
    <w:basedOn w:val="DefaultParagraphFont"/>
    <w:rsid w:val="004546AC"/>
  </w:style>
  <w:style w:type="character" w:customStyle="1" w:styleId="caps">
    <w:name w:val="caps"/>
    <w:basedOn w:val="DefaultParagraphFont"/>
    <w:rsid w:val="004546AC"/>
  </w:style>
  <w:style w:type="character" w:styleId="IntenseEmphasis">
    <w:name w:val="Intense Emphasis"/>
    <w:basedOn w:val="DefaultParagraphFont"/>
    <w:uiPriority w:val="21"/>
    <w:qFormat/>
    <w:rsid w:val="004546AC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pe.edu" TargetMode="External"/><Relationship Id="rId5" Type="http://schemas.openxmlformats.org/officeDocument/2006/relationships/hyperlink" Target="http://www.manula.com/manuals/acpe/acpe-manuals/2016/en/topic/professional-ethics-commission" TargetMode="External"/><Relationship Id="rId4" Type="http://schemas.openxmlformats.org/officeDocument/2006/relationships/hyperlink" Target="http://www.manula.com/manuals/acpe/acpe-manuals/2016/en/topic/standards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Grady Health System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Lacairla Turner</dc:creator>
  <cp:keywords/>
  <dc:description/>
  <cp:lastModifiedBy>Lacairla Turner</cp:lastModifiedBy>
  <cp:revision>1</cp:revision>
  <dcterms:created xsi:type="dcterms:W3CDTF">2020-01-30T17:22:00Z</dcterms:created>
  <dcterms:modified xsi:type="dcterms:W3CDTF">2020-01-30T17:24:00Z</dcterms:modified>
</cp:coreProperties>
</file>